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ascii="宋体" w:hAnsi="宋体" w:cs="Arial"/>
          <w:color w:val="auto"/>
          <w:sz w:val="24"/>
          <w:highlight w:val="none"/>
        </w:rPr>
      </w:r>
      <w:r/>
    </w:p>
    <w:p>
      <w:pPr>
        <w:pStyle w:val="737"/>
        <w:rPr>
          <w:color w:val="auto"/>
          <w:highlight w:val="none"/>
        </w:rPr>
      </w:pPr>
      <w:r>
        <w:rPr>
          <w:color w:val="auto"/>
          <w:highlight w:val="none"/>
        </w:rPr>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962"/>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962"/>
        <w:ind w:firstLine="0"/>
        <w:jc w:val="center"/>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项目名称：张家港市2026年度基准地价更新、标定地价更新和城镇地价动态监测工作技术服务项目</w:t>
      </w:r>
      <w:r/>
    </w:p>
    <w:p>
      <w:pPr>
        <w:pStyle w:val="962"/>
        <w:ind w:firstLine="0"/>
        <w:jc w:val="center"/>
        <w:rPr>
          <w:rFonts w:hint="eastAsia" w:ascii="宋体" w:hAnsi="宋体" w:eastAsia="宋体"/>
          <w:color w:val="auto"/>
          <w:sz w:val="32"/>
          <w:szCs w:val="32"/>
          <w:highlight w:val="none"/>
          <w:lang w:eastAsia="zh-CN"/>
        </w:rPr>
        <w:outlineLvl w:val="0"/>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JSZC-320582-RFZB-G2026-0005</w:t>
      </w:r>
      <w:r/>
    </w:p>
    <w:p>
      <w:pPr>
        <w:pStyle w:val="962"/>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925"/>
        <w:jc w:val="center"/>
        <w:spacing w:line="360" w:lineRule="auto"/>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苏州日丰招投标代理有限公司</w:t>
      </w:r>
      <w:r/>
    </w:p>
    <w:p>
      <w:pPr>
        <w:pStyle w:val="962"/>
        <w:ind w:firstLine="0"/>
        <w:jc w:val="center"/>
        <w:rPr>
          <w:rFonts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2026年</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19</w:t>
      </w:r>
      <w:r>
        <w:rPr>
          <w:rFonts w:hint="eastAsia" w:ascii="宋体" w:hAnsi="宋体" w:cs="宋体"/>
          <w:b/>
          <w:bCs/>
          <w:color w:val="auto"/>
          <w:sz w:val="32"/>
          <w:highlight w:val="none"/>
        </w:rPr>
        <w:t xml:space="preserve">日</w:t>
      </w:r>
      <w:bookmarkEnd w:id="0"/>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sdt>
      <w:sdtPr>
        <w15:appearance w15:val="boundingBox"/>
        <w:id w:val="147471858"/>
        <w:docPartObj>
          <w:docPartGallery w:val="Table of Contents"/>
          <w:docPartUnique w:val="true"/>
        </w:docPartObj>
        <w:rPr>
          <w:rFonts w:ascii="宋体" w:hAnsi="宋体"/>
          <w:color w:val="auto"/>
          <w:sz w:val="20"/>
          <w:szCs w:val="20"/>
          <w:highlight w:val="none"/>
        </w:rPr>
      </w:sdtPr>
      <w:sdtContent>
        <w:p>
          <w:pPr>
            <w:jc w:val="center"/>
            <w:rPr>
              <w:color w:val="auto"/>
              <w:highlight w:val="none"/>
            </w:rPr>
          </w:pPr>
          <w:r/>
          <w:bookmarkStart w:id="1" w:name="_Toc28728"/>
          <w:r/>
          <w:bookmarkStart w:id="2" w:name="_Toc459"/>
          <w:r/>
          <w:bookmarkStart w:id="3" w:name="_Toc54615237"/>
          <w:r/>
          <w:bookmarkStart w:id="4" w:name="_Toc6468"/>
          <w:r/>
          <w:bookmarkStart w:id="5" w:name="_Toc20897"/>
          <w:r/>
          <w:bookmarkStart w:id="6" w:name="_Toc38368118"/>
          <w:r/>
          <w:bookmarkStart w:id="7" w:name="_Toc30448"/>
          <w:r/>
          <w:bookmarkStart w:id="8" w:name="_Toc35266018"/>
          <w:r/>
          <w:bookmarkStart w:id="9" w:name="_Toc20691"/>
          <w:r/>
          <w:bookmarkStart w:id="10" w:name="_Toc31298"/>
          <w:r/>
          <w:bookmarkStart w:id="11" w:name="_Toc513029200"/>
          <w:r/>
          <w:bookmarkStart w:id="12" w:name="_Toc16938516"/>
          <w:r/>
          <w:bookmarkStart w:id="13" w:name="_Toc20823272"/>
          <w:r/>
          <w:bookmarkStart w:id="14" w:name="_Toc479757206"/>
          <w:r/>
          <w:bookmarkStart w:id="15" w:name="_Toc523127445"/>
          <w:r>
            <w:rPr>
              <w:rFonts w:ascii="宋体" w:hAnsi="宋体"/>
              <w:color w:val="auto"/>
              <w:highlight w:val="none"/>
            </w:rPr>
            <w:t xml:space="preserve">目录</w:t>
          </w:r>
          <w:r/>
        </w:p>
        <w:p>
          <w:pPr>
            <w:pStyle w:val="1039"/>
            <w:tabs>
              <w:tab w:val="right" w:pos="9746" w:leader="dot"/>
            </w:tabs>
            <w:rPr>
              <w:color w:val="auto"/>
              <w:highlight w:val="none"/>
            </w:rPr>
          </w:pPr>
          <w:r>
            <w:rPr>
              <w:color w:val="auto"/>
              <w:highlight w:val="none"/>
            </w:rPr>
            <w:fldChar w:fldCharType="begin"/>
          </w:r>
          <w:r>
            <w:rPr>
              <w:color w:val="auto"/>
              <w:highlight w:val="none"/>
            </w:rPr>
            <w:instrText xml:space="preserve"> HYPERLINK \l "_Toc16370" </w:instrText>
          </w:r>
          <w:r>
            <w:rPr>
              <w:color w:val="auto"/>
              <w:highlight w:val="none"/>
            </w:rPr>
            <w:fldChar w:fldCharType="separate"/>
          </w:r>
          <w:sdt>
            <w:sdtPr>
              <w15:appearance w15:val="boundingBox"/>
              <w:id w:val="147457510"/>
              <w:placeholder>
                <w:docPart w:val="{ddaae8fb-912f-441f-aaba-35899003ed8e}"/>
              </w:placeholder>
              <w:rPr>
                <w:color w:val="auto"/>
                <w:highlight w:val="none"/>
              </w:rPr>
            </w:sdtPr>
            <w:sdtContent>
              <w:r>
                <w:rPr>
                  <w:rFonts w:hint="eastAsia" w:ascii="宋体" w:hAnsi="宋体"/>
                  <w:color w:val="auto"/>
                  <w:highlight w:val="none"/>
                </w:rPr>
                <w:t xml:space="preserve">第一章 投标邀请</w:t>
              </w:r>
            </w:sdtContent>
          </w:sdt>
          <w:r>
            <w:rPr>
              <w:color w:val="auto"/>
              <w:highlight w:val="none"/>
            </w:rPr>
            <w:tab/>
          </w:r>
          <w:r>
            <w:rPr>
              <w:color w:val="auto"/>
              <w:highlight w:val="none"/>
            </w:rPr>
            <w:t xml:space="preserve">3</w:t>
          </w:r>
          <w:r>
            <w:rPr>
              <w:color w:val="auto"/>
              <w:highlight w:val="none"/>
            </w:rPr>
            <w:fldChar w:fldCharType="end"/>
          </w:r>
          <w:r/>
        </w:p>
        <w:p>
          <w:pPr>
            <w:pStyle w:val="1039"/>
            <w:tabs>
              <w:tab w:val="right" w:pos="9746" w:leader="dot"/>
            </w:tabs>
            <w:rPr>
              <w:color w:val="auto"/>
              <w:highlight w:val="none"/>
            </w:rPr>
          </w:pPr>
          <w:r>
            <w:rPr>
              <w:color w:val="auto"/>
              <w:highlight w:val="none"/>
            </w:rPr>
            <w:fldChar w:fldCharType="begin"/>
          </w:r>
          <w:r>
            <w:rPr>
              <w:color w:val="auto"/>
              <w:highlight w:val="none"/>
            </w:rPr>
            <w:instrText xml:space="preserve"> HYPERLINK \l "_Toc15374" </w:instrText>
          </w:r>
          <w:r>
            <w:rPr>
              <w:color w:val="auto"/>
              <w:highlight w:val="none"/>
            </w:rPr>
            <w:fldChar w:fldCharType="separate"/>
          </w:r>
          <w:sdt>
            <w:sdtPr>
              <w15:appearance w15:val="boundingBox"/>
              <w:id w:val="147472748"/>
              <w:rPr>
                <w:color w:val="auto"/>
                <w:highlight w:val="none"/>
              </w:rPr>
            </w:sdtPr>
            <w:sdtContent>
              <w:r>
                <w:rPr>
                  <w:rFonts w:hint="eastAsia" w:ascii="宋体" w:hAnsi="宋体"/>
                  <w:color w:val="auto"/>
                  <w:highlight w:val="none"/>
                </w:rPr>
                <w:t xml:space="preserve">第二章 投标人须知</w:t>
              </w:r>
            </w:sdtContent>
          </w:sdt>
          <w:r>
            <w:rPr>
              <w:color w:val="auto"/>
              <w:highlight w:val="none"/>
            </w:rPr>
            <w:tab/>
          </w:r>
          <w:r>
            <w:rPr>
              <w:color w:val="auto"/>
              <w:highlight w:val="none"/>
            </w:rPr>
            <w:t xml:space="preserve">8</w:t>
          </w:r>
          <w:r>
            <w:rPr>
              <w:color w:val="auto"/>
              <w:highlight w:val="none"/>
            </w:rPr>
            <w:fldChar w:fldCharType="end"/>
          </w:r>
          <w:r/>
        </w:p>
        <w:p>
          <w:pPr>
            <w:pStyle w:val="1039"/>
            <w:tabs>
              <w:tab w:val="right" w:pos="9746" w:leader="dot"/>
            </w:tabs>
            <w:rPr>
              <w:color w:val="auto"/>
              <w:highlight w:val="none"/>
            </w:rPr>
          </w:pPr>
          <w:r>
            <w:rPr>
              <w:color w:val="auto"/>
              <w:highlight w:val="none"/>
            </w:rPr>
            <w:fldChar w:fldCharType="begin"/>
          </w:r>
          <w:r>
            <w:rPr>
              <w:color w:val="auto"/>
              <w:highlight w:val="none"/>
            </w:rPr>
            <w:instrText xml:space="preserve"> HYPERLINK \l "_Toc11251" </w:instrText>
          </w:r>
          <w:r>
            <w:rPr>
              <w:color w:val="auto"/>
              <w:highlight w:val="none"/>
            </w:rPr>
            <w:fldChar w:fldCharType="separate"/>
          </w:r>
          <w:sdt>
            <w:sdtPr>
              <w15:appearance w15:val="boundingBox"/>
              <w:id w:val="147483048"/>
              <w:rPr>
                <w:color w:val="auto"/>
                <w:highlight w:val="none"/>
              </w:rPr>
            </w:sdtPr>
            <w:sdtContent>
              <w:r>
                <w:rPr>
                  <w:rFonts w:hint="eastAsia" w:ascii="宋体" w:hAnsi="宋体"/>
                  <w:color w:val="auto"/>
                  <w:highlight w:val="none"/>
                </w:rPr>
                <w:t xml:space="preserve">第三章 合同条款及格式</w:t>
              </w:r>
            </w:sdtContent>
          </w:sdt>
          <w:r>
            <w:rPr>
              <w:color w:val="auto"/>
              <w:highlight w:val="none"/>
            </w:rPr>
            <w:tab/>
          </w:r>
          <w:r>
            <w:rPr>
              <w:color w:val="auto"/>
              <w:highlight w:val="none"/>
            </w:rPr>
            <w:t xml:space="preserve">25</w:t>
          </w:r>
          <w:r>
            <w:rPr>
              <w:color w:val="auto"/>
              <w:highlight w:val="none"/>
            </w:rPr>
            <w:fldChar w:fldCharType="end"/>
          </w:r>
          <w:r/>
        </w:p>
        <w:p>
          <w:pPr>
            <w:pStyle w:val="1039"/>
            <w:tabs>
              <w:tab w:val="right" w:pos="9746" w:leader="dot"/>
            </w:tabs>
            <w:rPr>
              <w:color w:val="auto"/>
              <w:highlight w:val="none"/>
            </w:rPr>
          </w:pPr>
          <w:r>
            <w:rPr>
              <w:color w:val="auto"/>
              <w:highlight w:val="none"/>
            </w:rPr>
            <w:fldChar w:fldCharType="begin"/>
          </w:r>
          <w:r>
            <w:rPr>
              <w:color w:val="auto"/>
              <w:highlight w:val="none"/>
            </w:rPr>
            <w:instrText xml:space="preserve"> HYPERLINK \l "_Toc16554" </w:instrText>
          </w:r>
          <w:r>
            <w:rPr>
              <w:color w:val="auto"/>
              <w:highlight w:val="none"/>
            </w:rPr>
            <w:fldChar w:fldCharType="separate"/>
          </w:r>
          <w:sdt>
            <w:sdtPr>
              <w15:appearance w15:val="boundingBox"/>
              <w:id w:val="147470813"/>
              <w:rPr>
                <w:color w:val="auto"/>
                <w:highlight w:val="none"/>
              </w:rPr>
            </w:sdtPr>
            <w:sdtContent>
              <w:r>
                <w:rPr>
                  <w:rFonts w:hint="eastAsia" w:ascii="宋体" w:hAnsi="宋体"/>
                  <w:color w:val="auto"/>
                  <w:highlight w:val="none"/>
                </w:rPr>
                <w:t xml:space="preserve">第四章 项目需求</w:t>
              </w:r>
            </w:sdtContent>
          </w:sdt>
          <w:r>
            <w:rPr>
              <w:color w:val="auto"/>
              <w:highlight w:val="none"/>
            </w:rPr>
            <w:tab/>
          </w:r>
          <w:r>
            <w:rPr>
              <w:color w:val="auto"/>
              <w:highlight w:val="none"/>
            </w:rPr>
            <w:t xml:space="preserve">29</w:t>
          </w:r>
          <w:r>
            <w:rPr>
              <w:color w:val="auto"/>
              <w:highlight w:val="none"/>
            </w:rPr>
            <w:fldChar w:fldCharType="end"/>
          </w:r>
          <w:r/>
        </w:p>
        <w:p>
          <w:pPr>
            <w:pStyle w:val="1039"/>
            <w:tabs>
              <w:tab w:val="right" w:pos="9746" w:leader="dot"/>
            </w:tabs>
            <w:rPr>
              <w:color w:val="auto"/>
              <w:highlight w:val="none"/>
            </w:rPr>
          </w:pPr>
          <w:r>
            <w:rPr>
              <w:color w:val="auto"/>
              <w:highlight w:val="none"/>
            </w:rPr>
            <w:fldChar w:fldCharType="begin"/>
          </w:r>
          <w:r>
            <w:rPr>
              <w:color w:val="auto"/>
              <w:highlight w:val="none"/>
            </w:rPr>
            <w:instrText xml:space="preserve"> HYPERLINK \l "_Toc26685" </w:instrText>
          </w:r>
          <w:r>
            <w:rPr>
              <w:color w:val="auto"/>
              <w:highlight w:val="none"/>
            </w:rPr>
            <w:fldChar w:fldCharType="separate"/>
          </w:r>
          <w:sdt>
            <w:sdtPr>
              <w15:appearance w15:val="boundingBox"/>
              <w:id w:val="147473807"/>
              <w:rPr>
                <w:color w:val="auto"/>
                <w:highlight w:val="none"/>
              </w:rPr>
            </w:sdtPr>
            <w:sdtContent>
              <w:r>
                <w:rPr>
                  <w:rFonts w:hint="eastAsia" w:ascii="宋体" w:hAnsi="宋体"/>
                  <w:color w:val="auto"/>
                  <w:highlight w:val="none"/>
                </w:rPr>
                <w:t xml:space="preserve">第五章 评标方法与评标标准</w:t>
              </w:r>
            </w:sdtContent>
          </w:sdt>
          <w:r>
            <w:rPr>
              <w:color w:val="auto"/>
              <w:highlight w:val="none"/>
            </w:rPr>
            <w:tab/>
          </w:r>
          <w:r>
            <w:rPr>
              <w:color w:val="auto"/>
              <w:highlight w:val="none"/>
            </w:rPr>
            <w:t xml:space="preserve">35</w:t>
          </w:r>
          <w:r>
            <w:rPr>
              <w:color w:val="auto"/>
              <w:highlight w:val="none"/>
            </w:rPr>
            <w:fldChar w:fldCharType="end"/>
          </w:r>
          <w:r/>
        </w:p>
        <w:p>
          <w:pPr>
            <w:pStyle w:val="1039"/>
            <w:tabs>
              <w:tab w:val="right" w:pos="9746" w:leader="dot"/>
            </w:tabs>
            <w:rPr>
              <w:color w:val="auto"/>
              <w:highlight w:val="none"/>
            </w:rPr>
          </w:pPr>
          <w:r>
            <w:rPr>
              <w:color w:val="auto"/>
              <w:highlight w:val="none"/>
            </w:rPr>
            <w:fldChar w:fldCharType="begin"/>
          </w:r>
          <w:r>
            <w:rPr>
              <w:color w:val="auto"/>
              <w:highlight w:val="none"/>
            </w:rPr>
            <w:instrText xml:space="preserve"> HYPERLINK \l "_Toc18317" </w:instrText>
          </w:r>
          <w:r>
            <w:rPr>
              <w:color w:val="auto"/>
              <w:highlight w:val="none"/>
            </w:rPr>
            <w:fldChar w:fldCharType="separate"/>
          </w:r>
          <w:sdt>
            <w:sdtPr>
              <w15:appearance w15:val="boundingBox"/>
              <w:id w:val="147482712"/>
              <w:rPr>
                <w:color w:val="auto"/>
                <w:highlight w:val="none"/>
              </w:rPr>
            </w:sdtPr>
            <w:sdtContent>
              <w:r>
                <w:rPr>
                  <w:rFonts w:hint="eastAsia" w:ascii="宋体" w:hAnsi="宋体"/>
                  <w:color w:val="auto"/>
                  <w:highlight w:val="none"/>
                </w:rPr>
                <w:t xml:space="preserve">第六章 投标文件格式</w:t>
              </w:r>
            </w:sdtContent>
          </w:sdt>
          <w:r>
            <w:rPr>
              <w:color w:val="auto"/>
              <w:highlight w:val="none"/>
            </w:rPr>
            <w:tab/>
          </w:r>
          <w:r>
            <w:rPr>
              <w:color w:val="auto"/>
              <w:highlight w:val="none"/>
            </w:rPr>
            <w:t xml:space="preserve">39</w:t>
          </w:r>
          <w:r>
            <w:rPr>
              <w:color w:val="auto"/>
              <w:highlight w:val="none"/>
            </w:rPr>
            <w:fldChar w:fldCharType="end"/>
          </w:r>
          <w:r/>
        </w:p>
      </w:sdtContent>
    </w:sdt>
    <w:p>
      <w:pPr>
        <w:pStyle w:val="1039"/>
        <w:tabs>
          <w:tab w:val="right" w:pos="9746" w:leader="dot"/>
        </w:tabs>
        <w:rPr>
          <w:color w:val="auto"/>
          <w:highlight w:val="none"/>
        </w:rPr>
      </w:pPr>
      <w:r>
        <w:rPr>
          <w:color w:val="auto"/>
          <w:highlight w:val="none"/>
        </w:rPr>
      </w:r>
      <w:r/>
    </w:p>
    <w:p>
      <w:pPr>
        <w:jc w:val="center"/>
        <w:rPr>
          <w:rFonts w:ascii="宋体" w:hAnsi="宋体" w:cs="宋体"/>
          <w:color w:val="auto"/>
          <w:sz w:val="24"/>
          <w:szCs w:val="24"/>
          <w:highlight w:val="none"/>
        </w:rPr>
      </w:pPr>
      <w:r>
        <w:rPr>
          <w:rFonts w:ascii="宋体" w:hAnsi="宋体" w:cs="宋体"/>
          <w:color w:val="auto"/>
          <w:sz w:val="24"/>
          <w:szCs w:val="24"/>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1039"/>
        <w:tabs>
          <w:tab w:val="right" w:pos="10092" w:leader="dot"/>
        </w:tabs>
        <w:rPr>
          <w:color w:val="auto"/>
          <w:highlight w:val="none"/>
        </w:rPr>
      </w:pPr>
      <w:r>
        <w:rPr>
          <w:color w:val="auto"/>
          <w:highlight w:val="none"/>
        </w:rPr>
      </w:r>
      <w:r/>
    </w:p>
    <w:p>
      <w:pPr>
        <w:pStyle w:val="930"/>
        <w:pageBreakBefore/>
        <w:spacing w:line="360" w:lineRule="auto"/>
        <w:rPr>
          <w:rFonts w:ascii="宋体" w:hAnsi="宋体" w:eastAsia="宋体"/>
          <w:color w:val="auto"/>
          <w:sz w:val="36"/>
          <w:szCs w:val="36"/>
          <w:highlight w:val="none"/>
        </w:rPr>
      </w:pPr>
      <w:r/>
      <w:bookmarkStart w:id="16" w:name="_Toc22369"/>
      <w:r/>
      <w:bookmarkStart w:id="17" w:name="_Toc16370"/>
      <w:r/>
      <w:bookmarkStart w:id="18" w:name="_Toc17240"/>
      <w:r/>
      <w:bookmarkStart w:id="19" w:name="_Toc20164"/>
      <w:r/>
      <w:bookmarkStart w:id="20" w:name="_Toc24736"/>
      <w:r/>
      <w:bookmarkStart w:id="21" w:name="_Toc11159"/>
      <w:r>
        <w:rPr>
          <w:rFonts w:hint="eastAsia" w:ascii="宋体" w:hAnsi="宋体" w:eastAsia="宋体"/>
          <w:color w:val="auto"/>
          <w:sz w:val="36"/>
          <w:szCs w:val="36"/>
          <w:highlight w:val="none"/>
        </w:rPr>
        <w:t xml:space="preserve">第一章 投标邀请</w:t>
      </w:r>
      <w:bookmarkEnd w:id="1"/>
      <w:r/>
      <w:bookmarkEnd w:id="2"/>
      <w:r/>
      <w:bookmarkEnd w:id="3"/>
      <w:r/>
      <w:bookmarkEnd w:id="4"/>
      <w:r/>
      <w:bookmarkEnd w:id="5"/>
      <w:r/>
      <w:bookmarkEnd w:id="6"/>
      <w:r/>
      <w:bookmarkEnd w:id="7"/>
      <w:r/>
      <w:bookmarkEnd w:id="8"/>
      <w:r/>
      <w:bookmarkEnd w:id="9"/>
      <w:r/>
      <w:bookmarkEnd w:id="10"/>
      <w:r/>
      <w:bookmarkEnd w:id="16"/>
      <w:r/>
      <w:bookmarkEnd w:id="17"/>
      <w:r/>
      <w:bookmarkEnd w:id="18"/>
      <w:r/>
      <w:bookmarkEnd w:id="19"/>
      <w:r/>
      <w:bookmarkEnd w:id="20"/>
      <w:r/>
      <w:bookmarkEnd w:id="21"/>
      <w:r/>
      <w:bookmarkStart w:id="22" w:name="_Toc120614211"/>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张家港市2026年度基准地价更新、标定地价更新和城镇地价动态监测工作技术服务项目的潜在投标人应在“苏采云政府采购一体化平台”中参与项目并下载获取电子招标文件，并于2026年</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日13:30（北京时间）前上传电子投标文件。</w:t>
      </w:r>
      <w:r/>
    </w:p>
    <w:p>
      <w:pPr>
        <w:pStyle w:val="930"/>
        <w:ind w:firstLine="482"/>
        <w:jc w:val="both"/>
        <w:spacing w:before="0" w:after="120"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一、项目基本情况</w:t>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项目编号：</w:t>
      </w:r>
      <w:r>
        <w:rPr>
          <w:rFonts w:hint="eastAsia" w:ascii="宋体" w:hAnsi="宋体" w:eastAsia="宋体" w:cs="宋体"/>
          <w:b w:val="0"/>
          <w:bCs w:val="0"/>
          <w:color w:val="auto"/>
          <w:sz w:val="24"/>
          <w:szCs w:val="24"/>
          <w:highlight w:val="none"/>
          <w:lang w:eastAsia="zh-CN"/>
        </w:rPr>
        <w:t xml:space="preserve">JSZC-320582-RFZB-G2026-0005</w:t>
      </w:r>
      <w:r/>
    </w:p>
    <w:p>
      <w:pPr>
        <w:pStyle w:val="930"/>
        <w:ind w:firstLine="480"/>
        <w:jc w:val="both"/>
        <w:spacing w:before="0" w:after="12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项目名称：</w:t>
      </w:r>
      <w:bookmarkStart w:id="23" w:name="OLE_LINK26"/>
      <w:r>
        <w:rPr>
          <w:rFonts w:hint="eastAsia" w:ascii="宋体" w:hAnsi="宋体" w:eastAsia="宋体" w:cs="宋体"/>
          <w:b w:val="0"/>
          <w:bCs w:val="0"/>
          <w:color w:val="auto"/>
          <w:sz w:val="24"/>
          <w:szCs w:val="24"/>
          <w:highlight w:val="none"/>
        </w:rPr>
        <w:t xml:space="preserve">张家港市2026年度基准地价更新、标定地价更新和城镇地价动态监测工作技术服务项目</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预算金额</w:t>
      </w:r>
      <w:bookmarkStart w:id="24" w:name="OLE_LINK64"/>
      <w:r>
        <w:rPr>
          <w:rFonts w:hint="eastAsia" w:ascii="宋体" w:hAnsi="宋体" w:eastAsia="宋体" w:cs="宋体"/>
          <w:b w:val="0"/>
          <w:bCs w:val="0"/>
          <w:color w:val="auto"/>
          <w:sz w:val="24"/>
          <w:szCs w:val="24"/>
          <w:highlight w:val="none"/>
        </w:rPr>
        <w:t xml:space="preserve">：180万元</w:t>
      </w:r>
      <w:bookmarkEnd w:id="24"/>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最高限价：</w:t>
      </w:r>
      <w:bookmarkEnd w:id="23"/>
      <w:r>
        <w:rPr>
          <w:rFonts w:hint="eastAsia" w:ascii="宋体" w:hAnsi="宋体" w:eastAsia="宋体" w:cs="宋体"/>
          <w:b w:val="0"/>
          <w:bCs w:val="0"/>
          <w:color w:val="auto"/>
          <w:sz w:val="24"/>
          <w:szCs w:val="24"/>
          <w:highlight w:val="none"/>
          <w:lang w:val="en-US" w:eastAsia="zh-CN"/>
        </w:rPr>
        <w:t xml:space="preserve">179.7</w:t>
      </w:r>
      <w:r>
        <w:rPr>
          <w:rFonts w:hint="eastAsia" w:ascii="宋体" w:hAnsi="宋体" w:eastAsia="宋体" w:cs="宋体"/>
          <w:b w:val="0"/>
          <w:bCs w:val="0"/>
          <w:color w:val="auto"/>
          <w:sz w:val="24"/>
          <w:szCs w:val="24"/>
          <w:highlight w:val="none"/>
        </w:rPr>
        <w:t xml:space="preserve">万元</w:t>
      </w:r>
      <w:r/>
    </w:p>
    <w:p>
      <w:pPr>
        <w:pStyle w:val="930"/>
        <w:ind w:firstLine="480"/>
        <w:jc w:val="both"/>
        <w:spacing w:before="0" w:after="120" w:line="360" w:lineRule="auto"/>
        <w:rPr>
          <w:rFonts w:ascii="宋体" w:hAnsi="宋体" w:cs="宋体"/>
          <w:b w:val="0"/>
          <w:bCs w:val="0"/>
          <w:color w:val="auto"/>
          <w:sz w:val="24"/>
          <w:szCs w:val="24"/>
          <w:highlight w:val="none"/>
        </w:rPr>
        <w:outlineLvl w:val="9"/>
      </w:pPr>
      <w:r>
        <w:rPr>
          <w:rFonts w:ascii="宋体" w:hAnsi="宋体" w:eastAsia="宋体" w:cs="宋体"/>
          <w:b w:val="0"/>
          <w:bCs w:val="0"/>
          <w:color w:val="auto"/>
          <w:sz w:val="24"/>
          <w:szCs w:val="24"/>
          <w:highlight w:val="none"/>
        </w:rPr>
        <w:t xml:space="preserve">注：投标报价超过最高限价为无效投标报价。</w:t>
      </w:r>
      <w:r/>
    </w:p>
    <w:p>
      <w:pPr>
        <w:pStyle w:val="930"/>
        <w:ind w:firstLine="480"/>
        <w:jc w:val="both"/>
        <w:spacing w:before="0" w:after="120" w:line="360" w:lineRule="auto"/>
        <w:rPr>
          <w:color w:val="auto"/>
          <w:highlight w:val="none"/>
        </w:rPr>
        <w:outlineLvl w:val="9"/>
      </w:pPr>
      <w:r>
        <w:rPr>
          <w:rFonts w:hint="eastAsia" w:ascii="宋体" w:hAnsi="宋体" w:eastAsia="宋体" w:cs="宋体"/>
          <w:b w:val="0"/>
          <w:bCs w:val="0"/>
          <w:color w:val="auto"/>
          <w:sz w:val="24"/>
          <w:szCs w:val="24"/>
          <w:highlight w:val="none"/>
        </w:rPr>
        <w:t xml:space="preserve">采购需求：</w:t>
      </w:r>
      <w:bookmarkStart w:id="25" w:name="OLE_LINK3"/>
      <w:r/>
      <w:bookmarkStart w:id="26" w:name="OLE_LINK4"/>
      <w:r/>
      <w:bookmarkStart w:id="27" w:name="OLE_LINK2"/>
      <w:r>
        <w:rPr>
          <w:rFonts w:hint="eastAsia" w:ascii="宋体" w:hAnsi="宋体" w:eastAsia="宋体" w:cs="宋体"/>
          <w:b w:val="0"/>
          <w:bCs w:val="0"/>
          <w:color w:val="auto"/>
          <w:sz w:val="24"/>
          <w:szCs w:val="24"/>
          <w:highlight w:val="none"/>
        </w:rPr>
        <w:t xml:space="preserve">本次招标的标的是张家港市2026年度基准地价更新、2026-2028年度标定地价更新和城镇地价动态监测工作技术服务项目，具体要求见招标文件第四章项目需求。</w:t>
      </w:r>
      <w:bookmarkEnd w:id="25"/>
      <w:r/>
      <w:bookmarkEnd w:id="26"/>
      <w:r/>
      <w:bookmarkEnd w:id="27"/>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合同履行期限：2029年6月30日前完成。</w:t>
      </w:r>
      <w:r/>
    </w:p>
    <w:p>
      <w:pPr>
        <w:pStyle w:val="930"/>
        <w:ind w:firstLine="482"/>
        <w:jc w:val="both"/>
        <w:spacing w:before="0" w:after="120"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二、申请人的资格要求：</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1、满足《中华人民共和国政府采购法》第二十二条规定：</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（1）具有独立承担民事责任的能力；</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（2）具有良好的商业信誉和健全的财务会计制度；</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（3）具有履行合同所必需的设备和专业技术能力；</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（4）有依法缴纳税收和社会保障资金的良好记录；</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（5）参加政府采购活动前三年内，在经营活动中没有重大违法记录；</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（6）法律、行政法规规定的其他条件。</w:t>
      </w:r>
      <w:r/>
    </w:p>
    <w:p>
      <w:pPr>
        <w:pStyle w:val="930"/>
        <w:ind w:firstLine="480"/>
        <w:jc w:val="both"/>
        <w:spacing w:after="12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2、落实政府采购政策需满足的资格要求：</w:t>
      </w:r>
      <w:r/>
    </w:p>
    <w:p>
      <w:pPr>
        <w:pStyle w:val="930"/>
        <w:ind w:firstLine="480"/>
        <w:jc w:val="both"/>
        <w:spacing w:after="120"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2.1</w:t>
      </w:r>
      <w:bookmarkStart w:id="28" w:name="OLE_LINK12"/>
      <w:r>
        <w:rPr>
          <w:rFonts w:hint="eastAsia" w:ascii="宋体" w:hAnsi="宋体" w:eastAsia="宋体"/>
          <w:b w:val="0"/>
          <w:bCs w:val="0"/>
          <w:color w:val="auto"/>
          <w:sz w:val="24"/>
          <w:szCs w:val="24"/>
          <w:highlight w:val="none"/>
        </w:rPr>
        <w:t xml:space="preserve">本项目专门面向中小企业采购</w:t>
      </w:r>
      <w:r/>
    </w:p>
    <w:p>
      <w:pPr>
        <w:pStyle w:val="930"/>
        <w:ind w:firstLine="480"/>
        <w:jc w:val="both"/>
        <w:spacing w:after="120"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注：1.根据《关于促进残疾人就业政府采购政策的通知》（财库〔2017〕141号）的通知规定，在政府采购活动中，残疾人福利性单位视同小型、微型企业。</w:t>
      </w:r>
      <w:r/>
    </w:p>
    <w:p>
      <w:pPr>
        <w:pStyle w:val="930"/>
        <w:ind w:firstLine="480"/>
        <w:jc w:val="both"/>
        <w:spacing w:after="120" w:line="360" w:lineRule="auto"/>
        <w:rPr>
          <w:rFonts w:ascii="宋体" w:hAnsi="宋体" w:eastAsia="宋体" w:cs="宋体"/>
          <w:b w:val="0"/>
          <w:bCs w:val="0"/>
          <w:color w:val="auto"/>
          <w:sz w:val="24"/>
          <w:szCs w:val="24"/>
          <w:highlight w:val="none"/>
        </w:rPr>
      </w:pPr>
      <w:r>
        <w:rPr>
          <w:rFonts w:hint="eastAsia" w:ascii="宋体" w:hAnsi="宋体" w:eastAsia="宋体"/>
          <w:b w:val="0"/>
          <w:bCs w:val="0"/>
          <w:color w:val="auto"/>
          <w:sz w:val="24"/>
          <w:szCs w:val="24"/>
          <w:highlight w:val="none"/>
        </w:rPr>
        <w:t xml:space="preserve">2.根据《关于政府采购支持监狱企业发展有关问题的通知》（财库〔2014〕68号）的通知规定，在政府采购活动中，监狱企业视同小型、微型企业。</w:t>
      </w:r>
      <w:bookmarkEnd w:id="28"/>
      <w:r/>
      <w:r/>
    </w:p>
    <w:p>
      <w:pPr>
        <w:pStyle w:val="930"/>
        <w:ind w:firstLine="482"/>
        <w:jc w:val="both"/>
        <w:spacing w:before="0" w:after="12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9" w:name="OLE_LINK28"/>
      <w:r>
        <w:rPr>
          <w:rFonts w:hint="eastAsia" w:ascii="宋体" w:hAnsi="宋体" w:eastAsia="宋体" w:cs="宋体"/>
          <w:color w:val="auto"/>
          <w:sz w:val="24"/>
          <w:szCs w:val="24"/>
          <w:highlight w:val="none"/>
        </w:rPr>
        <w:t xml:space="preserve">供应商应当具备的特定资格条件：投标人须经过工商登记所在地的省级自然资源主管部门土地估价机构备案。</w:t>
      </w:r>
      <w:bookmarkEnd w:id="29"/>
      <w:r/>
      <w:r/>
    </w:p>
    <w:p>
      <w:pPr>
        <w:pStyle w:val="930"/>
        <w:ind w:firstLine="480"/>
        <w:jc w:val="both"/>
        <w:spacing w:before="0" w:after="12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4、拒绝下述供应商参加本次采购活动： </w:t>
      </w:r>
      <w:r/>
    </w:p>
    <w:p>
      <w:pPr>
        <w:pStyle w:val="930"/>
        <w:ind w:firstLine="480"/>
        <w:jc w:val="both"/>
        <w:spacing w:before="0" w:after="12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4.1供应商单位负责人为同一人或者存在直接控股、管理关系的不同供应商，不得参加同一合同项下的政府采购活动。 </w:t>
      </w:r>
      <w:r/>
    </w:p>
    <w:p>
      <w:pPr>
        <w:pStyle w:val="930"/>
        <w:ind w:firstLine="480"/>
        <w:jc w:val="both"/>
        <w:spacing w:before="0" w:after="12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4.2凡为采购项目提供整体设计、规范编制或者项目管理、监理、检测等服务的供应商，不得再参加本项目的采购活动。</w:t>
      </w:r>
      <w:r/>
    </w:p>
    <w:p>
      <w:pPr>
        <w:pStyle w:val="930"/>
        <w:ind w:firstLine="480"/>
        <w:jc w:val="both"/>
        <w:spacing w:before="0" w:after="12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4.3法人的分支机构不得参加投标（除银行、保险、石油石化、电力、电信等行业特殊情况外）。</w:t>
      </w:r>
      <w:r/>
    </w:p>
    <w:p>
      <w:pPr>
        <w:pStyle w:val="930"/>
        <w:ind w:firstLine="480"/>
        <w:jc w:val="both"/>
        <w:spacing w:before="0" w:after="12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30"/>
        <w:ind w:firstLine="480"/>
        <w:jc w:val="both"/>
        <w:spacing w:before="0" w:after="120"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注：1.本项目不接受联合体投标。</w:t>
      </w:r>
      <w:r/>
    </w:p>
    <w:p>
      <w:pPr>
        <w:pStyle w:val="930"/>
        <w:ind w:firstLine="482"/>
        <w:jc w:val="both"/>
        <w:spacing w:before="0" w:after="120"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三、获取招标文件</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1.时间：自招标文件公告发布之日起5个工作日。</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2.地点：在“苏采云”自行免费下载招标文件。</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3.方式：线上获取 </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4.售价：0.00元 </w:t>
      </w:r>
      <w:r/>
    </w:p>
    <w:p>
      <w:pPr>
        <w:pStyle w:val="930"/>
        <w:ind w:firstLine="482"/>
        <w:jc w:val="both"/>
        <w:spacing w:before="0" w:after="120"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四、提交投标文件截止时间、开标时间和地点</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时间：2026年</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lang w:val="en-US" w:eastAsia="zh-CN"/>
        </w:rPr>
        <w:t xml:space="preserve">10</w:t>
      </w:r>
      <w:bookmarkStart w:id="210" w:name="_GoBack"/>
      <w:r/>
      <w:bookmarkEnd w:id="210"/>
      <w:r>
        <w:rPr>
          <w:rFonts w:hint="eastAsia" w:ascii="宋体" w:hAnsi="宋体" w:eastAsia="宋体" w:cs="宋体"/>
          <w:b w:val="0"/>
          <w:bCs w:val="0"/>
          <w:color w:val="auto"/>
          <w:sz w:val="24"/>
          <w:szCs w:val="24"/>
          <w:highlight w:val="none"/>
        </w:rPr>
        <w:t xml:space="preserve">日13:30（北京时间）</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地点：苏采云 </w:t>
      </w:r>
      <w:r/>
    </w:p>
    <w:p>
      <w:pPr>
        <w:pStyle w:val="930"/>
        <w:ind w:firstLine="482"/>
        <w:jc w:val="both"/>
        <w:spacing w:before="0" w:after="120"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五、公告期限</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自本公告发布之日起5个工作日。</w:t>
      </w:r>
      <w:r/>
    </w:p>
    <w:p>
      <w:pPr>
        <w:pStyle w:val="930"/>
        <w:ind w:firstLine="482"/>
        <w:jc w:val="both"/>
        <w:spacing w:before="0" w:after="120"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六、其他补充事宜</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1、CA证书办理：</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2、参与采购活动：</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3、电子投标准备：</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在系统操作过程中如有疑问，请按以下方式联系：</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注册咨询：18261002950；</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CA技术咨询电话：400-608-6099；</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签章使用问题：025-83633811、025-83633812、15380932027、15371015030；</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系统使用指导与咨询：13914088964、18261002950；QQ：3048755361、1315179389、895706745。智能客服：登录苏采云系统后，联系系统右下方智能客服图标进行咨询。</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6、请供应商确保电脑、系统及其他设备（视频输入输出设备等）无误，且开标直至项目结束始终保持系统在线状态。</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七、对本次招标提出询问，请按以下方式联系。</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1.采购人信息</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名 称：张家港市自然资源和规划局</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地 址：张家港市人民中路18号</w:t>
      </w:r>
      <w:r/>
    </w:p>
    <w:p>
      <w:pPr>
        <w:pStyle w:val="930"/>
        <w:ind w:firstLine="480"/>
        <w:jc w:val="both"/>
        <w:spacing w:before="0" w:after="120"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联系人：黄敏                     </w:t>
      </w:r>
      <w:r>
        <w:rPr>
          <w:rFonts w:hint="eastAsia" w:ascii="宋体" w:hAnsi="宋体" w:eastAsia="宋体" w:cs="宋体"/>
          <w:b w:val="0"/>
          <w:bCs w:val="0"/>
          <w:color w:val="auto"/>
          <w:sz w:val="24"/>
          <w:szCs w:val="24"/>
          <w:highlight w:val="none"/>
          <w:lang w:val="en-US" w:eastAsia="zh-CN"/>
        </w:rPr>
        <w:t xml:space="preserve">        </w:t>
      </w:r>
      <w:r>
        <w:rPr>
          <w:rFonts w:ascii="宋体" w:hAnsi="宋体" w:eastAsia="宋体" w:cs="宋体"/>
          <w:b w:val="0"/>
          <w:bCs w:val="0"/>
          <w:color w:val="auto"/>
          <w:sz w:val="24"/>
          <w:szCs w:val="24"/>
          <w:highlight w:val="none"/>
        </w:rP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r>
      <w:r>
        <w:rPr>
          <w:rFonts w:hint="eastAsia" w:ascii="宋体" w:hAnsi="宋体" w:eastAsia="宋体" w:cs="宋体"/>
          <w:b w:val="0"/>
          <w:bCs w:val="0"/>
          <w:color w:val="auto"/>
          <w:sz w:val="24"/>
          <w:szCs w:val="24"/>
          <w:highlight w:val="none"/>
        </w:rPr>
        <w:t xml:space="preserve">联系电话：0512-56791880</w:t>
      </w:r>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2.采购代理机构信息</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名 称：苏州日丰招投标代理有限公司</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地　址：苏州市姑苏区平泷路251号城市生活广场A座1610室</w:t>
      </w:r>
      <w:r/>
    </w:p>
    <w:p>
      <w:pPr>
        <w:pStyle w:val="930"/>
        <w:ind w:firstLine="480"/>
        <w:jc w:val="both"/>
        <w:spacing w:before="0" w:after="12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联系人：金娟、刘秀萍、殷涛霞、魏洪花              </w:t>
      </w:r>
      <w:r>
        <w:rPr>
          <w:rFonts w:ascii="宋体" w:hAnsi="宋体" w:eastAsia="宋体" w:cs="宋体"/>
          <w:b w:val="0"/>
          <w:bCs w:val="0"/>
          <w:color w:val="auto"/>
          <w:sz w:val="24"/>
          <w:szCs w:val="24"/>
          <w:highlight w:val="none"/>
        </w:rPr>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联系电话：0512-68136997</w:t>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3.项目联系方式</w:t>
      </w:r>
      <w:r/>
    </w:p>
    <w:p>
      <w:pPr>
        <w:pStyle w:val="930"/>
        <w:ind w:firstLine="480"/>
        <w:jc w:val="both"/>
        <w:spacing w:before="0" w:after="120"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项目联系人：金娟、刘秀萍、殷涛霞</w:t>
      </w:r>
      <w:r>
        <w:rPr>
          <w:rFonts w:hint="eastAsia" w:ascii="宋体" w:hAnsi="宋体" w:eastAsia="宋体" w:cs="宋体"/>
          <w:b w:val="0"/>
          <w:bCs w:val="0"/>
          <w:color w:val="auto"/>
          <w:sz w:val="24"/>
          <w:szCs w:val="24"/>
          <w:highlight w:val="none"/>
        </w:rPr>
        <w:t xml:space="preserve">、魏洪花</w:t>
      </w:r>
      <w:r>
        <w:rPr>
          <w:rFonts w:hint="eastAsia" w:ascii="宋体" w:hAnsi="宋体" w:eastAsia="宋体" w:cs="宋体"/>
          <w:b w:val="0"/>
          <w:bCs w:val="0"/>
          <w:color w:val="auto"/>
          <w:sz w:val="24"/>
          <w:szCs w:val="24"/>
          <w:highlight w:val="none"/>
        </w:rPr>
        <w:t xml:space="preserve">  </w:t>
      </w:r>
      <w:r>
        <w:rPr>
          <w:rFonts w:ascii="宋体" w:hAnsi="宋体" w:eastAsia="宋体" w:cs="宋体"/>
          <w:b w:val="0"/>
          <w:bCs w:val="0"/>
          <w:color w:val="auto"/>
          <w:sz w:val="24"/>
          <w:szCs w:val="24"/>
          <w:highlight w:val="none"/>
        </w:rPr>
      </w:r>
      <w:r/>
    </w:p>
    <w:p>
      <w:pPr>
        <w:pStyle w:val="930"/>
        <w:ind w:firstLine="480"/>
        <w:jc w:val="both"/>
        <w:spacing w:before="0" w:after="120" w:line="360" w:lineRule="auto"/>
        <w:rPr>
          <w:rFonts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联系方式：0512-68136997/18662614146</w:t>
      </w:r>
      <w:r/>
    </w:p>
    <w:p>
      <w:pPr>
        <w:pStyle w:val="930"/>
        <w:pageBreakBefore/>
        <w:spacing w:line="360" w:lineRule="auto"/>
        <w:rPr>
          <w:rFonts w:ascii="宋体" w:hAnsi="宋体" w:eastAsia="宋体"/>
          <w:color w:val="auto"/>
          <w:sz w:val="36"/>
          <w:szCs w:val="36"/>
          <w:highlight w:val="none"/>
        </w:rPr>
      </w:pPr>
      <w:r/>
      <w:bookmarkStart w:id="30" w:name="_Toc11123"/>
      <w:r/>
      <w:bookmarkStart w:id="31" w:name="_Toc21486"/>
      <w:r/>
      <w:bookmarkStart w:id="32" w:name="_Toc35266019"/>
      <w:r/>
      <w:bookmarkStart w:id="33" w:name="_Toc9464"/>
      <w:r/>
      <w:bookmarkStart w:id="34" w:name="_Toc7222"/>
      <w:r/>
      <w:bookmarkStart w:id="35" w:name="_Toc15839"/>
      <w:r/>
      <w:bookmarkStart w:id="36" w:name="_Toc16702"/>
      <w:r/>
      <w:bookmarkStart w:id="37" w:name="_Toc988"/>
      <w:r/>
      <w:bookmarkStart w:id="38" w:name="_Toc38368119"/>
      <w:r/>
      <w:bookmarkStart w:id="39" w:name="_Toc25081"/>
      <w:r/>
      <w:bookmarkStart w:id="40" w:name="_Toc11125"/>
      <w:r/>
      <w:bookmarkStart w:id="41" w:name="_Toc2006"/>
      <w:r/>
      <w:bookmarkStart w:id="42" w:name="_Toc5669"/>
      <w:r/>
      <w:bookmarkStart w:id="43" w:name="_Toc54615238"/>
      <w:r/>
      <w:bookmarkStart w:id="44" w:name="_Toc18483"/>
      <w:r/>
      <w:bookmarkStart w:id="45" w:name="_Toc15374"/>
      <w:r>
        <w:rPr>
          <w:rFonts w:hint="eastAsia" w:ascii="宋体" w:hAnsi="宋体" w:eastAsia="宋体"/>
          <w:color w:val="auto"/>
          <w:sz w:val="36"/>
          <w:szCs w:val="36"/>
          <w:highlight w:val="none"/>
        </w:rPr>
        <w:t xml:space="preserve">第二章 </w:t>
      </w:r>
      <w:bookmarkEnd w:id="11"/>
      <w:r/>
      <w:bookmarkEnd w:id="12"/>
      <w:r/>
      <w:bookmarkEnd w:id="13"/>
      <w:r/>
      <w:bookmarkEnd w:id="14"/>
      <w:r/>
      <w:bookmarkEnd w:id="15"/>
      <w:r/>
      <w:bookmarkEnd w:id="22"/>
      <w:r/>
      <w:bookmarkStart w:id="46" w:name="_Toc513029202"/>
      <w:r/>
      <w:bookmarkStart w:id="47" w:name="_Toc20823274"/>
      <w:r/>
      <w:bookmarkStart w:id="48" w:name="_Toc120614213"/>
      <w:r/>
      <w:bookmarkStart w:id="49" w:name="_Toc16938518"/>
      <w:r>
        <w:rPr>
          <w:rFonts w:hint="eastAsia" w:ascii="宋体" w:hAnsi="宋体" w:eastAsia="宋体"/>
          <w:color w:val="auto"/>
          <w:sz w:val="36"/>
          <w:szCs w:val="36"/>
          <w:highlight w:val="none"/>
        </w:rPr>
        <w:t xml:space="preserve">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82"/>
        <w:spacing w:after="181" w:line="360" w:lineRule="auto"/>
        <w:rPr>
          <w:rFonts w:ascii="宋体" w:hAnsi="宋体" w:cs="宋体"/>
          <w:b/>
          <w:bCs/>
          <w:color w:val="auto"/>
          <w:sz w:val="24"/>
          <w:highlight w:val="none"/>
        </w:rPr>
        <w:outlineLvl w:val="1"/>
      </w:pPr>
      <w:r/>
      <w:bookmarkStart w:id="50" w:name="_Toc513029242"/>
      <w:r/>
      <w:bookmarkStart w:id="51" w:name="_Toc20823314"/>
      <w:r/>
      <w:bookmarkStart w:id="52" w:name="_Toc120614221"/>
      <w:r/>
      <w:bookmarkStart w:id="53" w:name="_Toc16938558"/>
      <w:r/>
      <w:bookmarkStart w:id="54" w:name="_Toc479757207"/>
      <w:r>
        <w:rPr>
          <w:rFonts w:hint="eastAsia" w:ascii="宋体" w:hAnsi="宋体" w:cs="宋体"/>
          <w:b/>
          <w:bCs/>
          <w:color w:val="auto"/>
          <w:sz w:val="24"/>
          <w:highlight w:val="none"/>
          <w:lang w:val="zh-CN"/>
        </w:rPr>
        <w:t xml:space="preserve">1. 说明</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1.1本招标文件仅适用于</w:t>
      </w:r>
      <w:r>
        <w:rPr>
          <w:rFonts w:hint="eastAsia" w:ascii="宋体" w:hAnsi="宋体" w:cs="宋体"/>
          <w:color w:val="auto"/>
          <w:sz w:val="24"/>
          <w:highlight w:val="none"/>
          <w:lang w:val="zh-CN" w:bidi="ar"/>
        </w:rPr>
        <w:t xml:space="preserve">苏州日丰招投标代理有限公司</w:t>
      </w:r>
      <w:r>
        <w:rPr>
          <w:rFonts w:hint="eastAsia" w:ascii="宋体" w:hAnsi="宋体" w:cs="宋体"/>
          <w:color w:val="auto"/>
          <w:sz w:val="24"/>
          <w:highlight w:val="none"/>
          <w:lang w:val="zh-CN"/>
        </w:rPr>
        <w:t xml:space="preserve">组织的采购活动。</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1.2本次采购活动及因本次采购产生的合同受中国法律制约和保护。</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1.3本招标文件的解释权属于</w:t>
      </w:r>
      <w:r>
        <w:rPr>
          <w:rFonts w:hint="eastAsia" w:ascii="宋体" w:hAnsi="宋体" w:cs="宋体"/>
          <w:color w:val="auto"/>
          <w:sz w:val="24"/>
          <w:highlight w:val="none"/>
          <w:lang w:val="zh-CN" w:bidi="ar"/>
        </w:rPr>
        <w:t xml:space="preserve">苏州日丰招投标代理有限公司</w:t>
      </w:r>
      <w:r>
        <w:rPr>
          <w:rFonts w:hint="eastAsia" w:ascii="宋体" w:hAnsi="宋体" w:cs="宋体"/>
          <w:color w:val="auto"/>
          <w:sz w:val="24"/>
          <w:highlight w:val="none"/>
          <w:lang w:val="zh-CN"/>
        </w:rPr>
        <w:t xml:space="preserve">。</w:t>
      </w:r>
      <w:r/>
    </w:p>
    <w:p>
      <w:pPr>
        <w:ind w:firstLine="482"/>
        <w:spacing w:after="181" w:line="360" w:lineRule="auto"/>
        <w:rPr>
          <w:rFonts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2. 词语释义</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2.1采购人（甲方）：依法进行政府采购的国家机关、事业单位、团体组织。</w:t>
      </w:r>
      <w:r/>
    </w:p>
    <w:p>
      <w:pPr>
        <w:ind w:firstLine="480"/>
        <w:spacing w:after="181"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2.2采购代理机构：</w:t>
      </w:r>
      <w:r>
        <w:rPr>
          <w:rFonts w:hint="eastAsia" w:ascii="宋体" w:hAnsi="宋体" w:cs="宋体"/>
          <w:color w:val="auto"/>
          <w:sz w:val="24"/>
          <w:highlight w:val="none"/>
        </w:rPr>
        <w:t xml:space="preserve">依法接受采购人委托，从事货物、工程和服务等政府采购代理业务的社会中介机构。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2.3投标人（供应商）：响应招标、参加投标竞争的法人、非法人组织或者自然人。</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潜在投标人（供应商）：以招标文件规定的方式获取本项目招标文件的法人、非法人组织或者自然人。</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2.4响应：投标人根据采购代理机构或采购代理机构发布的招标文件，编制投标文件并按规定投标的行为。</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2.6合同：</w:t>
      </w:r>
      <w:r>
        <w:rPr>
          <w:rFonts w:hint="eastAsia" w:ascii="宋体" w:hAnsi="宋体" w:cs="宋体"/>
          <w:color w:val="auto"/>
          <w:sz w:val="24"/>
          <w:highlight w:val="none"/>
        </w:rPr>
        <w:t xml:space="preserve">甲乙</w:t>
      </w:r>
      <w:r>
        <w:rPr>
          <w:rFonts w:hint="eastAsia" w:ascii="宋体" w:hAnsi="宋体" w:cs="宋体"/>
          <w:color w:val="auto"/>
          <w:sz w:val="24"/>
          <w:highlight w:val="none"/>
          <w:lang w:val="zh-CN"/>
        </w:rPr>
        <w:t xml:space="preserve">双方根据招标文件和中标的投标文件及中标通知书规定的内容签署的以书面形式所达成的协议，包括所有的附件、附录和构成协议的所有文件。</w:t>
      </w:r>
      <w:r/>
    </w:p>
    <w:p>
      <w:pPr>
        <w:ind w:firstLine="480"/>
        <w:spacing w:after="181"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服务：系指本次招标文件规定乙方应承担的</w:t>
      </w:r>
      <w:r>
        <w:rPr>
          <w:rFonts w:hint="eastAsia" w:ascii="宋体" w:hAnsi="宋体" w:cs="宋体"/>
          <w:color w:val="auto"/>
          <w:sz w:val="24"/>
          <w:highlight w:val="none"/>
        </w:rPr>
        <w:t xml:space="preserve">与提供货物和服务有关的辅助服务及合同中规定乙方应承担的其它义务。</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知识产权：指专利权、商标权、著作权等无形财产专有权的统称。</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天：日历日。</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服务地点：合同中明确约定的</w:t>
      </w:r>
      <w:r>
        <w:rPr>
          <w:rFonts w:hint="eastAsia" w:ascii="宋体" w:hAnsi="宋体" w:cs="宋体"/>
          <w:color w:val="auto"/>
          <w:sz w:val="24"/>
          <w:highlight w:val="none"/>
        </w:rPr>
        <w:t xml:space="preserve">服务项目所在地。</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11</w:t>
      </w:r>
      <w:r>
        <w:rPr>
          <w:rFonts w:hint="eastAsia" w:ascii="宋体" w:hAnsi="宋体" w:cs="宋体"/>
          <w:color w:val="auto"/>
          <w:sz w:val="24"/>
          <w:highlight w:val="none"/>
          <w:lang w:val="zh-CN"/>
        </w:rPr>
        <w:t xml:space="preserve">合同价款：根据合同规定，乙方在正确地履行合同义务后甲方应支付乙方的价款。</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2.1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不可抗力：不能预见、不能避免并且不能克服的客观情况。</w:t>
      </w:r>
      <w:r/>
    </w:p>
    <w:p>
      <w:pPr>
        <w:ind w:firstLine="480"/>
        <w:spacing w:after="181" w:line="360" w:lineRule="auto"/>
        <w:rPr>
          <w:rFonts w:ascii="宋体" w:hAnsi="宋体" w:cs="宋体"/>
          <w:bCs/>
          <w:color w:val="auto"/>
          <w:sz w:val="24"/>
          <w:highlight w:val="none"/>
        </w:rPr>
      </w:pPr>
      <w:r>
        <w:rPr>
          <w:rFonts w:hint="eastAsia" w:ascii="宋体" w:hAnsi="宋体" w:cs="宋体"/>
          <w:bCs/>
          <w:color w:val="auto"/>
          <w:sz w:val="24"/>
          <w:highlight w:val="none"/>
        </w:rPr>
        <w:t xml:space="preserve">2.13实质响应：</w:t>
      </w:r>
      <w:r>
        <w:rPr>
          <w:rFonts w:hint="eastAsia" w:ascii="宋体" w:hAnsi="宋体" w:cs="宋体"/>
          <w:color w:val="auto"/>
          <w:sz w:val="24"/>
          <w:highlight w:val="none"/>
          <w:lang w:val="zh-CN"/>
        </w:rPr>
        <w:t xml:space="preserve">满足有关本项目服务的具体要求，包括服务内容、履行期限、履行地点和方式、违约责任和解决争议方法等要求。</w:t>
      </w:r>
      <w:r/>
    </w:p>
    <w:p>
      <w:pPr>
        <w:ind w:firstLine="480"/>
        <w:spacing w:after="181" w:line="360" w:lineRule="auto"/>
        <w:rPr>
          <w:rFonts w:ascii="宋体" w:hAnsi="宋体" w:cs="宋体"/>
          <w:bCs/>
          <w:color w:val="auto"/>
          <w:sz w:val="24"/>
          <w:highlight w:val="none"/>
        </w:rPr>
      </w:pPr>
      <w:r>
        <w:rPr>
          <w:rFonts w:hint="eastAsia" w:ascii="宋体" w:hAnsi="宋体" w:cs="宋体"/>
          <w:bCs/>
          <w:color w:val="auto"/>
          <w:sz w:val="24"/>
          <w:highlight w:val="none"/>
        </w:rPr>
        <w:t xml:space="preserve">2.14书面形式：指书面文字、合同书、信件和传真等可以有形地表现所载内容的形式。</w:t>
      </w:r>
      <w:r/>
    </w:p>
    <w:p>
      <w:pPr>
        <w:ind w:firstLine="480"/>
        <w:spacing w:after="181"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2.15小微企业：</w:t>
      </w:r>
      <w:r>
        <w:rPr>
          <w:rFonts w:hint="eastAsia" w:ascii="宋体" w:hAnsi="宋体" w:cs="宋体"/>
          <w:color w:val="auto"/>
          <w:sz w:val="24"/>
          <w:highlight w:val="none"/>
          <w:lang w:val="zh-CN"/>
        </w:rPr>
        <w:t xml:space="preserve">小型企业且提供自有服务的，视同为小型企业。微型企业且提供自有服务的，视同为微型企业。</w:t>
      </w:r>
      <w:r/>
    </w:p>
    <w:p>
      <w:pPr>
        <w:ind w:firstLine="482"/>
        <w:spacing w:after="181" w:line="360" w:lineRule="auto"/>
        <w:rPr>
          <w:rFonts w:ascii="宋体" w:hAnsi="宋体" w:cs="宋体"/>
          <w:b/>
          <w:bCs/>
          <w:color w:val="auto"/>
          <w:sz w:val="24"/>
          <w:highlight w:val="none"/>
          <w:lang w:val="zh-CN"/>
        </w:rPr>
        <w:outlineLvl w:val="3"/>
      </w:pPr>
      <w:r>
        <w:rPr>
          <w:rFonts w:hint="eastAsia" w:ascii="宋体" w:hAnsi="宋体" w:cs="宋体"/>
          <w:b/>
          <w:bCs/>
          <w:color w:val="auto"/>
          <w:sz w:val="24"/>
          <w:highlight w:val="none"/>
          <w:lang w:val="zh-CN"/>
        </w:rPr>
        <w:t xml:space="preserve">二、投标人（供应商）</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3. 供应商资格要求</w:t>
      </w:r>
      <w:r/>
    </w:p>
    <w:p>
      <w:pPr>
        <w:ind w:firstLine="480"/>
        <w:spacing w:after="181" w:line="360" w:lineRule="auto"/>
        <w:rPr>
          <w:rFonts w:ascii="宋体" w:hAnsi="宋体" w:cs="宋体"/>
          <w:bCs/>
          <w:color w:val="auto"/>
          <w:sz w:val="24"/>
          <w:highlight w:val="none"/>
        </w:rPr>
        <w:outlineLvl w:val="2"/>
      </w:pPr>
      <w:r>
        <w:rPr>
          <w:rFonts w:hint="eastAsia" w:ascii="宋体" w:hAnsi="宋体" w:cs="宋体"/>
          <w:bCs/>
          <w:color w:val="auto"/>
          <w:sz w:val="24"/>
          <w:highlight w:val="none"/>
        </w:rPr>
        <w:t xml:space="preserve">3.1供应商应当具备下列一般条件：</w:t>
      </w:r>
      <w:r/>
    </w:p>
    <w:p>
      <w:pPr>
        <w:ind w:firstLine="480"/>
        <w:spacing w:after="181" w:line="360" w:lineRule="auto"/>
        <w:rPr>
          <w:rFonts w:ascii="宋体" w:hAnsi="宋体" w:cs="宋体"/>
          <w:bCs/>
          <w:color w:val="auto"/>
          <w:sz w:val="24"/>
          <w:highlight w:val="none"/>
        </w:rPr>
      </w:pPr>
      <w:r>
        <w:rPr>
          <w:rFonts w:hint="eastAsia" w:ascii="宋体" w:hAnsi="宋体" w:cs="宋体"/>
          <w:bCs/>
          <w:color w:val="auto"/>
          <w:sz w:val="24"/>
          <w:highlight w:val="none"/>
        </w:rPr>
        <w:t xml:space="preserve">3.1.1具有独立承担民事责任的能力；</w:t>
      </w:r>
      <w:r/>
    </w:p>
    <w:p>
      <w:pPr>
        <w:ind w:firstLine="480"/>
        <w:spacing w:after="181" w:line="360" w:lineRule="auto"/>
        <w:rPr>
          <w:rFonts w:ascii="宋体" w:hAnsi="宋体" w:cs="宋体"/>
          <w:bCs/>
          <w:color w:val="auto"/>
          <w:sz w:val="24"/>
          <w:highlight w:val="none"/>
        </w:rPr>
      </w:pPr>
      <w:r>
        <w:rPr>
          <w:rFonts w:hint="eastAsia" w:ascii="宋体" w:hAnsi="宋体" w:cs="宋体"/>
          <w:bCs/>
          <w:color w:val="auto"/>
          <w:sz w:val="24"/>
          <w:highlight w:val="none"/>
        </w:rPr>
        <w:t xml:space="preserve">3.1.2具有良好的商业信誉和健全的财务会计制度；</w:t>
      </w:r>
      <w:r/>
    </w:p>
    <w:p>
      <w:pPr>
        <w:ind w:firstLine="480"/>
        <w:spacing w:after="181" w:line="360" w:lineRule="auto"/>
        <w:rPr>
          <w:rFonts w:ascii="宋体" w:hAnsi="宋体" w:cs="宋体"/>
          <w:bCs/>
          <w:color w:val="auto"/>
          <w:sz w:val="24"/>
          <w:highlight w:val="none"/>
        </w:rPr>
      </w:pPr>
      <w:r>
        <w:rPr>
          <w:rFonts w:hint="eastAsia" w:ascii="宋体" w:hAnsi="宋体" w:cs="宋体"/>
          <w:bCs/>
          <w:color w:val="auto"/>
          <w:sz w:val="24"/>
          <w:highlight w:val="none"/>
        </w:rPr>
        <w:t xml:space="preserve">3.1.3具有履行合同所必需的设备和专业技术能力；</w:t>
      </w:r>
      <w:r/>
    </w:p>
    <w:p>
      <w:pPr>
        <w:ind w:firstLine="480"/>
        <w:spacing w:after="181" w:line="360" w:lineRule="auto"/>
        <w:rPr>
          <w:rFonts w:ascii="宋体" w:hAnsi="宋体" w:cs="宋体"/>
          <w:bCs/>
          <w:color w:val="auto"/>
          <w:sz w:val="24"/>
          <w:highlight w:val="none"/>
        </w:rPr>
      </w:pPr>
      <w:r>
        <w:rPr>
          <w:rFonts w:hint="eastAsia" w:ascii="宋体" w:hAnsi="宋体" w:cs="宋体"/>
          <w:bCs/>
          <w:color w:val="auto"/>
          <w:sz w:val="24"/>
          <w:highlight w:val="none"/>
        </w:rPr>
        <w:t xml:space="preserve">3.1.4有依法缴纳税收和社会保障资金的良好记录；</w:t>
      </w:r>
      <w:r/>
    </w:p>
    <w:p>
      <w:pPr>
        <w:ind w:firstLine="480"/>
        <w:spacing w:after="181" w:line="360" w:lineRule="auto"/>
        <w:rPr>
          <w:rFonts w:ascii="宋体" w:hAnsi="宋体" w:cs="宋体"/>
          <w:bCs/>
          <w:color w:val="auto"/>
          <w:sz w:val="24"/>
          <w:highlight w:val="none"/>
        </w:rPr>
      </w:pPr>
      <w:r>
        <w:rPr>
          <w:rFonts w:hint="eastAsia" w:ascii="宋体" w:hAnsi="宋体" w:cs="宋体"/>
          <w:bCs/>
          <w:color w:val="auto"/>
          <w:sz w:val="24"/>
          <w:highlight w:val="none"/>
        </w:rPr>
        <w:t xml:space="preserve">3.1.5参加政府采购活动前三年内，在经营活动中没有重大违法记录；</w:t>
      </w:r>
      <w:r/>
    </w:p>
    <w:p>
      <w:pPr>
        <w:ind w:firstLine="480"/>
        <w:spacing w:after="181" w:line="360" w:lineRule="auto"/>
        <w:rPr>
          <w:rFonts w:ascii="宋体" w:hAnsi="宋体" w:cs="宋体"/>
          <w:bCs/>
          <w:color w:val="auto"/>
          <w:sz w:val="24"/>
          <w:highlight w:val="none"/>
        </w:rPr>
        <w:outlineLvl w:val="3"/>
      </w:pPr>
      <w:r>
        <w:rPr>
          <w:rFonts w:hint="eastAsia" w:ascii="宋体" w:hAnsi="宋体" w:cs="宋体"/>
          <w:bCs/>
          <w:color w:val="auto"/>
          <w:sz w:val="24"/>
          <w:highlight w:val="none"/>
        </w:rPr>
        <w:t xml:space="preserve">3.1.6</w:t>
      </w:r>
      <w:bookmarkStart w:id="55" w:name="OLE_LINK11"/>
      <w:r>
        <w:rPr>
          <w:rFonts w:hint="eastAsia" w:ascii="宋体" w:hAnsi="宋体" w:cs="宋体"/>
          <w:bCs/>
          <w:color w:val="auto"/>
          <w:sz w:val="24"/>
          <w:highlight w:val="none"/>
        </w:rPr>
        <w:t xml:space="preserve">法律、行政法规规定的其他条件</w:t>
      </w:r>
      <w:bookmarkEnd w:id="55"/>
      <w:r>
        <w:rPr>
          <w:rFonts w:hint="eastAsia" w:ascii="宋体" w:hAnsi="宋体" w:cs="宋体"/>
          <w:bCs/>
          <w:color w:val="auto"/>
          <w:sz w:val="24"/>
          <w:highlight w:val="none"/>
        </w:rPr>
        <w:t xml:space="preserve">；</w:t>
      </w:r>
      <w:r/>
    </w:p>
    <w:p>
      <w:pPr>
        <w:pStyle w:val="930"/>
        <w:ind w:firstLine="480"/>
        <w:jc w:val="both"/>
        <w:spacing w:line="360" w:lineRule="auto"/>
        <w:rPr>
          <w:rFonts w:ascii="宋体" w:hAnsi="宋体" w:eastAsia="宋体"/>
          <w:b w:val="0"/>
          <w:bCs w:val="0"/>
          <w:color w:val="auto"/>
          <w:sz w:val="24"/>
          <w:szCs w:val="24"/>
          <w:highlight w:val="none"/>
        </w:rPr>
      </w:pPr>
      <w:r>
        <w:rPr>
          <w:rFonts w:hint="eastAsia" w:ascii="宋体" w:hAnsi="宋体" w:eastAsia="宋体" w:cs="宋体"/>
          <w:b w:val="0"/>
          <w:bCs w:val="0"/>
          <w:color w:val="auto"/>
          <w:sz w:val="24"/>
          <w:highlight w:val="none"/>
        </w:rPr>
        <w:t xml:space="preserve">3.2.落实政府采购政策需满足的资格要求：</w:t>
      </w:r>
      <w:r>
        <w:rPr>
          <w:rFonts w:hint="eastAsia" w:ascii="宋体" w:hAnsi="宋体" w:eastAsia="宋体"/>
          <w:color w:val="auto"/>
          <w:sz w:val="24"/>
          <w:szCs w:val="24"/>
          <w:highlight w:val="none"/>
        </w:rPr>
        <w:t xml:space="preserve">本项目专门面向中小企业采购。</w:t>
      </w:r>
      <w:r/>
    </w:p>
    <w:p>
      <w:pPr>
        <w:pStyle w:val="930"/>
        <w:ind w:firstLine="480"/>
        <w:jc w:val="both"/>
        <w:spacing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注：1.根据《关于促进残疾人就业政府采购政策的通知》（财库〔2017〕141号）的通知规定，在政府采购活动中，残疾人福利性单位视同小型、微型企业。</w:t>
      </w:r>
      <w:r/>
    </w:p>
    <w:p>
      <w:pPr>
        <w:pStyle w:val="930"/>
        <w:ind w:firstLine="480"/>
        <w:jc w:val="both"/>
        <w:spacing w:line="360" w:lineRule="auto"/>
        <w:rPr>
          <w:rFonts w:ascii="宋体" w:hAnsi="宋体" w:eastAsia="宋体" w:cs="宋体"/>
          <w:b w:val="0"/>
          <w:bCs w:val="0"/>
          <w:color w:val="auto"/>
          <w:sz w:val="24"/>
          <w:highlight w:val="none"/>
        </w:rPr>
      </w:pPr>
      <w:r>
        <w:rPr>
          <w:rFonts w:hint="eastAsia" w:ascii="宋体" w:hAnsi="宋体" w:eastAsia="宋体"/>
          <w:b w:val="0"/>
          <w:bCs w:val="0"/>
          <w:color w:val="auto"/>
          <w:sz w:val="24"/>
          <w:szCs w:val="24"/>
          <w:highlight w:val="none"/>
        </w:rPr>
        <w:t xml:space="preserve">2.根据《关于政府采购支持监狱企业发展有关问题的通知》（财库〔2014〕68号）的通知规定，在政府采购活动中，监狱企业视同小型、微型企业。</w:t>
      </w:r>
      <w:r/>
    </w:p>
    <w:p>
      <w:pPr>
        <w:pStyle w:val="930"/>
        <w:ind w:firstLine="482"/>
        <w:jc w:val="both"/>
        <w:spacing w:before="0" w:after="120"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3.3</w:t>
      </w:r>
      <w:r>
        <w:rPr>
          <w:rFonts w:hint="eastAsia" w:ascii="宋体" w:hAnsi="宋体" w:cs="宋体"/>
          <w:bCs w:val="0"/>
          <w:color w:val="auto"/>
          <w:sz w:val="24"/>
          <w:highlight w:val="none"/>
        </w:rPr>
        <w:t xml:space="preserve">供应商应当具备的特定资格条件：</w:t>
      </w:r>
      <w:r>
        <w:rPr>
          <w:rFonts w:hint="eastAsia" w:ascii="宋体" w:hAnsi="宋体" w:eastAsia="宋体" w:cs="宋体"/>
          <w:color w:val="auto"/>
          <w:sz w:val="24"/>
          <w:szCs w:val="24"/>
          <w:highlight w:val="none"/>
        </w:rPr>
        <w:t xml:space="preserve">投标人须经过工商登记所在地的省级自然资源主管部门土地估价机构备案</w:t>
      </w:r>
      <w:r>
        <w:rPr>
          <w:rFonts w:hint="eastAsia" w:ascii="宋体" w:hAnsi="宋体" w:cs="宋体"/>
          <w:bCs w:val="0"/>
          <w:color w:val="auto"/>
          <w:sz w:val="24"/>
          <w:highlight w:val="none"/>
        </w:rPr>
        <w:t xml:space="preserve">。</w:t>
      </w:r>
      <w:r>
        <w:rPr>
          <w:rFonts w:hint="eastAsia" w:ascii="宋体" w:hAnsi="宋体" w:eastAsia="宋体" w:cs="宋体"/>
          <w:bCs w:val="0"/>
          <w:color w:val="auto"/>
          <w:sz w:val="24"/>
          <w:highlight w:val="none"/>
        </w:rPr>
        <w:t xml:space="preserve"> </w:t>
      </w:r>
      <w:r>
        <w:rPr>
          <w:rFonts w:hint="eastAsia" w:ascii="宋体" w:hAnsi="宋体" w:eastAsia="宋体" w:cs="宋体"/>
          <w:color w:val="auto"/>
          <w:sz w:val="24"/>
          <w:highlight w:val="none"/>
        </w:rPr>
        <w:t xml:space="preserve">        </w:t>
      </w:r>
      <w:r/>
    </w:p>
    <w:p>
      <w:pPr>
        <w:pStyle w:val="930"/>
        <w:ind w:firstLine="480"/>
        <w:jc w:val="both"/>
        <w:spacing w:before="0" w:after="181"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3.4.拒绝下述供应商参加本次采购活动： </w:t>
      </w:r>
      <w:r/>
    </w:p>
    <w:p>
      <w:pPr>
        <w:pStyle w:val="930"/>
        <w:ind w:firstLine="480"/>
        <w:jc w:val="both"/>
        <w:spacing w:before="0" w:after="181"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（1）供应商单位负责人为同一人或者存在直接控股、管理关系的不同供应商，不得参加同一合同项下的政府采购活动。 </w:t>
      </w:r>
      <w:r/>
    </w:p>
    <w:p>
      <w:pPr>
        <w:pStyle w:val="930"/>
        <w:ind w:firstLine="480"/>
        <w:jc w:val="both"/>
        <w:spacing w:before="0" w:after="181"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（2）凡为采购项目提供整体设计、规范编制或者项目管理、监理、检测等服务的供应商，不得再参加本项目的采购活动。</w:t>
      </w:r>
      <w:r/>
    </w:p>
    <w:p>
      <w:pPr>
        <w:pStyle w:val="930"/>
        <w:ind w:firstLine="480"/>
        <w:jc w:val="both"/>
        <w:spacing w:before="0" w:after="181"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（3）法人的分支机构不得参加投标（除银行、保险、石油石化、电力、电信等行业特殊情况外）。</w:t>
      </w:r>
      <w:r/>
    </w:p>
    <w:p>
      <w:pPr>
        <w:pStyle w:val="930"/>
        <w:ind w:firstLine="480"/>
        <w:jc w:val="both"/>
        <w:spacing w:before="0" w:after="181"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30"/>
        <w:ind w:firstLine="480"/>
        <w:jc w:val="both"/>
        <w:spacing w:before="0" w:after="181" w:line="36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注：1.本项目不接受联合体投标。</w:t>
      </w:r>
      <w:r/>
    </w:p>
    <w:p>
      <w:pPr>
        <w:ind w:firstLine="482"/>
        <w:spacing w:after="181" w:line="360" w:lineRule="auto"/>
        <w:rPr>
          <w:rFonts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4、投标人代表</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4.1指全权代表投标人参加投标活动并签署投标文件的人，如果投标人代表不是法定代表人，须持有《法人授权委托书》（详见统一格式）。</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5、投标费用 </w:t>
      </w:r>
      <w:r/>
    </w:p>
    <w:p>
      <w:pPr>
        <w:ind w:firstLine="480"/>
        <w:spacing w:after="181"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5.1无论投标过程中的做法和结果如何，投标人自行承担所有与参加投标有关的全部费用。</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6、联合体投标</w:t>
      </w:r>
      <w:r/>
    </w:p>
    <w:p>
      <w:pPr>
        <w:ind w:firstLine="480"/>
        <w:spacing w:after="181"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本采购项目</w:t>
      </w:r>
      <w:r>
        <w:rPr>
          <w:rFonts w:hint="eastAsia" w:ascii="宋体" w:hAnsi="宋体" w:cs="宋体"/>
          <w:iCs/>
          <w:color w:val="auto"/>
          <w:sz w:val="24"/>
          <w:highlight w:val="none"/>
        </w:rPr>
        <w:t xml:space="preserve">不</w:t>
      </w:r>
      <w:r>
        <w:rPr>
          <w:rFonts w:hint="eastAsia" w:ascii="宋体" w:hAnsi="宋体" w:cs="宋体"/>
          <w:bCs/>
          <w:color w:val="auto"/>
          <w:sz w:val="24"/>
          <w:highlight w:val="none"/>
          <w:lang w:val="zh-CN"/>
        </w:rPr>
        <w:t xml:space="preserve">接受联合体投标。</w:t>
      </w:r>
      <w:r/>
    </w:p>
    <w:p>
      <w:pPr>
        <w:ind w:firstLine="482"/>
        <w:spacing w:after="181" w:line="360" w:lineRule="auto"/>
        <w:rPr>
          <w:rFonts w:ascii="宋体" w:hAnsi="宋体" w:cs="宋体"/>
          <w:b/>
          <w:bCs/>
          <w:color w:val="auto"/>
          <w:sz w:val="24"/>
          <w:highlight w:val="none"/>
          <w:lang w:val="zh-CN"/>
        </w:rPr>
        <w:outlineLvl w:val="2"/>
      </w:pPr>
      <w:r>
        <w:rPr>
          <w:rFonts w:hint="eastAsia" w:ascii="宋体" w:hAnsi="宋体" w:cs="宋体"/>
          <w:b/>
          <w:bCs/>
          <w:color w:val="auto"/>
          <w:sz w:val="24"/>
          <w:highlight w:val="none"/>
          <w:lang w:val="zh-CN"/>
        </w:rPr>
        <w:t xml:space="preserve">三、招标文件的说明</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7、招标文件</w:t>
      </w:r>
      <w:r/>
    </w:p>
    <w:p>
      <w:pPr>
        <w:ind w:firstLine="480"/>
        <w:spacing w:after="181" w:line="360" w:lineRule="auto"/>
        <w:rPr>
          <w:rFonts w:ascii="宋体" w:hAnsi="宋体" w:cs="宋体"/>
          <w:bCs/>
          <w:color w:val="auto"/>
          <w:sz w:val="24"/>
          <w:highlight w:val="none"/>
          <w:lang w:val="zh-CN"/>
        </w:rPr>
      </w:pPr>
      <w:r>
        <w:rPr>
          <w:rFonts w:hint="eastAsia" w:ascii="宋体" w:hAnsi="宋体" w:cs="宋体"/>
          <w:color w:val="auto"/>
          <w:sz w:val="24"/>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8、招标文件的询问与澄清</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8.1投标人在收到招标文件后，若有问题需要询问，应在获取招标文件后按网上报名相关流程提出，采购代理机构将予以解答。</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8.2采购人或者采购代理机构可以对已发出的招标文件进行必要的澄清或者修改，并发布澄清（修改）公告。澄清或者修改的内容为招标文件的组成部分。</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8.4至招标文件获取截止时间，获取招标文件的潜在投标人不足3家的，采购人或采购代理机构可以顺延招标文件提供期限。</w:t>
      </w:r>
      <w:r/>
    </w:p>
    <w:p>
      <w:pPr>
        <w:ind w:firstLine="482"/>
        <w:spacing w:after="181" w:line="360" w:lineRule="auto"/>
        <w:rPr>
          <w:rFonts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9、招标文件的修改</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9.1采购代理机构可依法对招标文件进行必要的澄清或者修改。</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9.2采购代理机构对招标文件的修改，将以补充通知的形式在网上发布公告。补充通知将作为招标文件的组成部分，对所有投标人有约束力。</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82"/>
        <w:spacing w:after="181" w:line="360" w:lineRule="auto"/>
        <w:rPr>
          <w:rFonts w:ascii="宋体" w:hAnsi="宋体" w:cs="宋体"/>
          <w:b/>
          <w:color w:val="auto"/>
          <w:sz w:val="24"/>
          <w:highlight w:val="none"/>
          <w:lang w:val="zh-CN"/>
        </w:rPr>
        <w:outlineLvl w:val="1"/>
      </w:pPr>
      <w:r>
        <w:rPr>
          <w:rFonts w:hint="eastAsia" w:ascii="宋体" w:hAnsi="宋体" w:cs="宋体"/>
          <w:b/>
          <w:bCs/>
          <w:color w:val="auto"/>
          <w:sz w:val="24"/>
          <w:highlight w:val="none"/>
          <w:lang w:val="zh-CN"/>
        </w:rPr>
        <w:t xml:space="preserve">10、质疑</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10.2根据《政府采购质疑和投诉办法》（财政部令第94号）第十一条规定，提出质疑的供应商应当是参与所质疑项目采购活动的供应商。因此凡是对招标文件提出质疑的供应商，请将符合资格条件的证明材料及《供应商参加投标确认函》与质疑函一起递交。</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10.4供应商如对本项目提出质疑须在法定质疑期内一次性提出针对同一采购程序环节的质疑。</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10.5接受质疑函的方式：当场送达或邮寄方式，</w:t>
      </w: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val="zh-CN"/>
        </w:rPr>
        <w:t xml:space="preserve">及采购人只接收以纸质原件形式送达的质疑,建议供应商尽量通过邮寄方式提交质疑（采购人和采购代理机构不接受未填写快递运单的快件）。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10.6联系单位：苏州日丰招投标代理有限公司</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10.7收件人： </w:t>
      </w:r>
      <w:r>
        <w:rPr>
          <w:rFonts w:hint="eastAsia" w:ascii="宋体" w:hAnsi="宋体" w:cs="宋体"/>
          <w:color w:val="auto"/>
          <w:sz w:val="24"/>
          <w:highlight w:val="none"/>
          <w:u w:val="single"/>
        </w:rPr>
        <w:t xml:space="preserve">金娟</w:t>
      </w:r>
      <w:r>
        <w:rPr>
          <w:rFonts w:hint="eastAsia" w:ascii="宋体" w:hAnsi="宋体" w:cs="宋体"/>
          <w:color w:val="auto"/>
          <w:sz w:val="24"/>
          <w:highlight w:val="none"/>
          <w:u w:val="single"/>
          <w:lang w:val="zh-CN"/>
        </w:rPr>
        <w:t xml:space="preserve">、刘秀萍、</w:t>
      </w:r>
      <w:r>
        <w:rPr>
          <w:rFonts w:hint="eastAsia" w:ascii="宋体" w:hAnsi="宋体" w:cs="宋体"/>
          <w:color w:val="auto"/>
          <w:sz w:val="24"/>
          <w:highlight w:val="none"/>
          <w:u w:val="single"/>
        </w:rPr>
        <w:t xml:space="preserve">殷涛霞</w:t>
      </w:r>
      <w:r>
        <w:rPr>
          <w:rFonts w:hint="eastAsia" w:ascii="宋体" w:hAnsi="宋体" w:cs="宋体"/>
          <w:color w:val="auto"/>
          <w:sz w:val="24"/>
          <w:highlight w:val="none"/>
          <w:u w:val="single"/>
          <w:lang w:val="zh-CN"/>
        </w:rPr>
        <w:t xml:space="preserve"> </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10.8联系电话： </w:t>
      </w:r>
      <w:r>
        <w:rPr>
          <w:rFonts w:hint="eastAsia" w:ascii="宋体" w:hAnsi="宋体" w:cs="宋体"/>
          <w:color w:val="auto"/>
          <w:sz w:val="24"/>
          <w:highlight w:val="none"/>
          <w:u w:val="single"/>
        </w:rPr>
        <w:t xml:space="preserve">0512-68136997</w:t>
      </w:r>
      <w:r>
        <w:rPr>
          <w:rFonts w:hint="eastAsia" w:ascii="宋体" w:hAnsi="宋体" w:cs="宋体"/>
          <w:color w:val="auto"/>
          <w:sz w:val="24"/>
          <w:highlight w:val="none"/>
          <w:u w:val="single"/>
          <w:lang w:val="zh-CN"/>
        </w:rPr>
        <w:t xml:space="preserve">   </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10.9通讯地址：</w:t>
      </w:r>
      <w:r>
        <w:rPr>
          <w:rFonts w:hint="eastAsia" w:ascii="宋体" w:hAnsi="宋体" w:cs="宋体"/>
          <w:color w:val="auto"/>
          <w:sz w:val="24"/>
          <w:highlight w:val="none"/>
          <w:u w:val="single"/>
          <w:lang w:val="zh-CN"/>
        </w:rPr>
        <w:t xml:space="preserve">苏州市姑苏区平泷路251号城市生活广场A座1610室 </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10.10邮政编码：</w:t>
      </w:r>
      <w:r>
        <w:rPr>
          <w:rFonts w:hint="eastAsia" w:ascii="宋体" w:hAnsi="宋体" w:cs="宋体"/>
          <w:color w:val="auto"/>
          <w:sz w:val="24"/>
          <w:highlight w:val="none"/>
          <w:u w:val="single"/>
        </w:rPr>
        <w:t xml:space="preserve">215000</w:t>
      </w:r>
      <w:r/>
    </w:p>
    <w:p>
      <w:pPr>
        <w:ind w:firstLine="482"/>
        <w:spacing w:after="181" w:line="360" w:lineRule="auto"/>
        <w:rPr>
          <w:rFonts w:ascii="宋体" w:hAnsi="宋体" w:cs="宋体"/>
          <w:b/>
          <w:bCs/>
          <w:color w:val="auto"/>
          <w:sz w:val="24"/>
          <w:highlight w:val="none"/>
        </w:rPr>
        <w:outlineLvl w:val="3"/>
      </w:pPr>
      <w:r>
        <w:rPr>
          <w:rFonts w:hint="eastAsia" w:ascii="宋体" w:hAnsi="宋体" w:cs="宋体"/>
          <w:b/>
          <w:bCs/>
          <w:color w:val="auto"/>
          <w:sz w:val="24"/>
          <w:highlight w:val="none"/>
          <w:lang w:val="zh-CN"/>
        </w:rPr>
        <w:t xml:space="preserve">四、投标文件说明</w:t>
      </w:r>
      <w:r/>
    </w:p>
    <w:p>
      <w:pPr>
        <w:ind w:firstLine="482"/>
        <w:spacing w:after="181" w:line="360" w:lineRule="auto"/>
        <w:rPr>
          <w:rFonts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11、提示与要求</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11.2无论是否递交投标文件，投标人都应将招标文件及相关的所有通知、文件等视为保密文件。</w:t>
      </w:r>
      <w:r/>
    </w:p>
    <w:p>
      <w:pPr>
        <w:ind w:firstLine="482"/>
        <w:spacing w:after="181" w:line="360" w:lineRule="auto"/>
        <w:rPr>
          <w:rFonts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12、投标文件计量单位和使用文字</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12.1投标文件中所使用的计量单位，除招标文件中有特殊要求外，均应使用中华人民共和国法定计量单位。</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spacing w:after="181" w:line="360" w:lineRule="auto"/>
        <w:rPr>
          <w:rFonts w:ascii="宋体" w:hAnsi="宋体" w:cs="宋体"/>
          <w:b/>
          <w:color w:val="auto"/>
          <w:sz w:val="24"/>
          <w:highlight w:val="none"/>
          <w:lang w:val="zh-CN"/>
        </w:rPr>
        <w:outlineLvl w:val="1"/>
      </w:pPr>
      <w:r>
        <w:rPr>
          <w:rFonts w:hint="eastAsia" w:ascii="宋体" w:hAnsi="宋体" w:cs="宋体"/>
          <w:b/>
          <w:color w:val="auto"/>
          <w:sz w:val="24"/>
          <w:highlight w:val="none"/>
          <w:lang w:val="zh-CN"/>
        </w:rPr>
        <w:t xml:space="preserve">13. </w:t>
      </w:r>
      <w:r>
        <w:rPr>
          <w:rFonts w:hint="eastAsia" w:ascii="宋体" w:hAnsi="宋体" w:cs="宋体"/>
          <w:color w:val="auto"/>
          <w:sz w:val="24"/>
          <w:highlight w:val="none"/>
          <w:lang w:val="zh-CN"/>
        </w:rPr>
        <w:t xml:space="preserve">电子投标文件的组成</w:t>
      </w:r>
      <w:r>
        <w:rPr>
          <w:rFonts w:hint="eastAsia" w:ascii="宋体" w:hAnsi="宋体" w:cs="宋体"/>
          <w:b/>
          <w:color w:val="auto"/>
          <w:sz w:val="24"/>
          <w:highlight w:val="none"/>
          <w:lang w:val="zh-CN"/>
        </w:rPr>
        <w:t xml:space="preserve">（相关文件格式参见第</w:t>
      </w:r>
      <w:r>
        <w:rPr>
          <w:rFonts w:hint="eastAsia" w:ascii="宋体" w:hAnsi="宋体" w:cs="宋体"/>
          <w:b/>
          <w:color w:val="auto"/>
          <w:sz w:val="24"/>
          <w:highlight w:val="none"/>
        </w:rPr>
        <w:t xml:space="preserve">六</w:t>
      </w:r>
      <w:r>
        <w:rPr>
          <w:rFonts w:hint="eastAsia" w:ascii="宋体" w:hAnsi="宋体" w:cs="宋体"/>
          <w:b/>
          <w:color w:val="auto"/>
          <w:sz w:val="24"/>
          <w:highlight w:val="none"/>
          <w:lang w:val="zh-CN"/>
        </w:rPr>
        <w:t xml:space="preserve">章）</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13.1 </w:t>
      </w:r>
      <w:r>
        <w:rPr>
          <w:rFonts w:hint="eastAsia" w:ascii="宋体" w:hAnsi="宋体" w:cs="宋体"/>
          <w:color w:val="auto"/>
          <w:sz w:val="24"/>
          <w:highlight w:val="none"/>
          <w:lang w:val="zh-CN"/>
        </w:rPr>
        <w:t xml:space="preserve">封面</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w:t>
      </w: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开标一览表（按系统中的统一格式）</w:t>
      </w:r>
      <w:r/>
    </w:p>
    <w:p>
      <w:pPr>
        <w:ind w:firstLine="480"/>
        <w:spacing w:after="181" w:line="360" w:lineRule="auto"/>
        <w:rPr>
          <w:rFonts w:ascii="宋体" w:hAnsi="宋体" w:cs="宋体"/>
          <w:color w:val="auto"/>
          <w:sz w:val="24"/>
          <w:highlight w:val="none"/>
        </w:rPr>
      </w:pPr>
      <w:r>
        <w:rPr>
          <w:rFonts w:hint="eastAsia" w:ascii="宋体" w:hAnsi="宋体" w:cs="宋体"/>
          <w:color w:val="auto"/>
          <w:sz w:val="24"/>
          <w:highlight w:val="none"/>
        </w:rPr>
        <w:t xml:space="preserve">13.3公开分项报价表</w:t>
      </w:r>
      <w:r/>
    </w:p>
    <w:p>
      <w:pPr>
        <w:ind w:firstLine="480"/>
        <w:spacing w:after="181" w:line="360" w:lineRule="auto"/>
        <w:rPr>
          <w:rFonts w:ascii="宋体" w:hAnsi="宋体" w:cs="宋体"/>
          <w:color w:val="auto"/>
          <w:sz w:val="24"/>
          <w:highlight w:val="none"/>
        </w:rPr>
      </w:pPr>
      <w:r>
        <w:rPr>
          <w:rFonts w:hint="eastAsia" w:ascii="宋体" w:hAnsi="宋体" w:cs="宋体"/>
          <w:color w:val="auto"/>
          <w:sz w:val="24"/>
          <w:highlight w:val="none"/>
        </w:rPr>
        <w:t xml:space="preserve">13.4.投标函；</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资格审查投标文件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.1关于资格证明文件的书面承诺；</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合格供应商的基本条件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.1具有独立承担民事责任的能力证明【</w:t>
      </w:r>
      <w:bookmarkStart w:id="56" w:name="OLE_LINK6"/>
      <w:r>
        <w:rPr>
          <w:rFonts w:hint="eastAsia" w:ascii="宋体" w:hAnsi="宋体" w:cs="宋体"/>
          <w:color w:val="auto"/>
          <w:sz w:val="24"/>
          <w:highlight w:val="none"/>
        </w:rPr>
        <w:t xml:space="preserve">提供</w:t>
      </w:r>
      <w:r>
        <w:rPr>
          <w:rFonts w:hint="eastAsia" w:ascii="宋体" w:hAnsi="宋体" w:cs="宋体"/>
          <w:color w:val="auto"/>
          <w:sz w:val="24"/>
          <w:highlight w:val="none"/>
          <w:lang w:val="zh-CN"/>
        </w:rPr>
        <w:t xml:space="preserve">投标单位营业执照副本复印件，投标单位法定代表人身份证复印件，法人授权委托书（如有授权），投标单位代理人身份证复印件（如有授权）</w:t>
      </w:r>
      <w:bookmarkEnd w:id="56"/>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.2具有良好的商业信誉和健全的财务会计制度证明</w:t>
      </w:r>
      <w:bookmarkStart w:id="57" w:name="OLE_LINK7"/>
      <w:r>
        <w:rPr>
          <w:rFonts w:hint="eastAsia" w:ascii="宋体" w:hAnsi="宋体" w:cs="宋体"/>
          <w:color w:val="auto"/>
          <w:sz w:val="24"/>
          <w:highlight w:val="none"/>
          <w:lang w:val="zh-CN"/>
        </w:rPr>
        <w:t xml:space="preserve">【</w:t>
      </w:r>
      <w:bookmarkEnd w:id="57"/>
      <w:r>
        <w:rPr>
          <w:rFonts w:hint="eastAsia" w:ascii="宋体" w:hAnsi="宋体" w:cs="宋体"/>
          <w:color w:val="auto"/>
          <w:sz w:val="24"/>
          <w:highlight w:val="none"/>
          <w:lang w:val="zh-CN"/>
        </w:rPr>
        <w:t xml:space="preserve">提供最近</w:t>
      </w:r>
      <w:r>
        <w:rPr>
          <w:rFonts w:hint="eastAsia" w:ascii="宋体" w:hAnsi="宋体" w:cs="宋体"/>
          <w:color w:val="auto"/>
          <w:sz w:val="24"/>
          <w:highlight w:val="none"/>
        </w:rPr>
        <w:t xml:space="preserve">一期</w:t>
      </w:r>
      <w:r>
        <w:rPr>
          <w:rFonts w:hint="eastAsia" w:ascii="宋体" w:hAnsi="宋体" w:cs="宋体"/>
          <w:color w:val="auto"/>
          <w:sz w:val="24"/>
          <w:highlight w:val="none"/>
          <w:lang w:val="zh-CN"/>
        </w:rPr>
        <w:t xml:space="preserve">财务状况报告（成立不满一年不需提供）】；</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w:t>
      </w:r>
      <w:bookmarkStart w:id="58" w:name="OLE_LINK8"/>
      <w:r>
        <w:rPr>
          <w:rFonts w:hint="eastAsia" w:ascii="宋体" w:hAnsi="宋体" w:cs="宋体"/>
          <w:color w:val="auto"/>
          <w:sz w:val="24"/>
          <w:highlight w:val="none"/>
          <w:lang w:val="zh-CN"/>
        </w:rPr>
        <w:t xml:space="preserve">履行合同所必需的设备和专业技术能力的证明材料或</w:t>
      </w:r>
      <w:bookmarkEnd w:id="58"/>
      <w:r>
        <w:rPr>
          <w:rFonts w:hint="eastAsia" w:ascii="宋体" w:hAnsi="宋体" w:cs="宋体"/>
          <w:color w:val="auto"/>
          <w:sz w:val="24"/>
          <w:highlight w:val="none"/>
        </w:rPr>
        <w:t xml:space="preserve">书面声明函</w:t>
      </w:r>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.4有依法缴纳税收和社会保障资金的良好记录（提供</w:t>
      </w:r>
      <w:r>
        <w:rPr>
          <w:rFonts w:hint="eastAsia" w:ascii="宋体" w:hAnsi="宋体" w:cs="宋体"/>
          <w:color w:val="auto"/>
          <w:sz w:val="24"/>
          <w:highlight w:val="none"/>
        </w:rPr>
        <w:t xml:space="preserve">最近</w:t>
      </w:r>
      <w:r>
        <w:rPr>
          <w:rFonts w:hint="eastAsia" w:ascii="宋体" w:hAnsi="宋体" w:cs="宋体"/>
          <w:color w:val="auto"/>
          <w:sz w:val="24"/>
          <w:highlight w:val="none"/>
          <w:lang w:val="zh-CN"/>
        </w:rPr>
        <w:t xml:space="preserve">依法缴纳税收及缴纳社会保障资金的证明材料，如相关主管部门证明或银行代扣证明。</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单位如依法享受缓缴、免缴税收、社会保障资金的应提供相关主管部门出具的证明材料）；</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.5</w:t>
      </w:r>
      <w:bookmarkStart w:id="59" w:name="OLE_LINK1"/>
      <w:r>
        <w:rPr>
          <w:rFonts w:hint="eastAsia" w:ascii="宋体" w:hAnsi="宋体" w:cs="宋体"/>
          <w:color w:val="auto"/>
          <w:sz w:val="24"/>
          <w:highlight w:val="none"/>
          <w:lang w:val="zh-CN"/>
        </w:rPr>
        <w:t xml:space="preserve">参加政府采购活动前三年内在经营活动中没有重大违法记录的书面声明函；</w:t>
      </w:r>
      <w:bookmarkEnd w:id="59"/>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13.5.2.6</w:t>
      </w:r>
      <w:bookmarkStart w:id="60" w:name="OLE_LINK9"/>
      <w:r>
        <w:rPr>
          <w:rFonts w:hint="eastAsia" w:ascii="宋体" w:hAnsi="宋体" w:cs="宋体"/>
          <w:color w:val="auto"/>
          <w:sz w:val="24"/>
          <w:highlight w:val="none"/>
        </w:rPr>
        <w:t xml:space="preserve">落实政府采购政策需满足的资格要求</w:t>
      </w:r>
      <w:bookmarkEnd w:id="60"/>
      <w:r>
        <w:rPr>
          <w:rFonts w:hint="eastAsia" w:ascii="宋体" w:hAnsi="宋体" w:cs="宋体"/>
          <w:color w:val="auto"/>
          <w:sz w:val="24"/>
          <w:highlight w:val="none"/>
        </w:rPr>
        <w:t xml:space="preserve">：</w:t>
      </w:r>
      <w:bookmarkStart w:id="61" w:name="OLE_LINK14"/>
      <w:r>
        <w:rPr>
          <w:rFonts w:hint="eastAsia" w:ascii="宋体" w:hAnsi="宋体" w:cs="宋体"/>
          <w:b/>
          <w:bCs/>
          <w:color w:val="auto"/>
          <w:sz w:val="24"/>
          <w:highlight w:val="none"/>
        </w:rPr>
        <w:t xml:space="preserve">本项目专门面向中小企业采购【提供中小微企业申明函】；</w:t>
      </w:r>
      <w:bookmarkEnd w:id="61"/>
      <w:r/>
      <w:r/>
    </w:p>
    <w:p>
      <w:pPr>
        <w:pStyle w:val="930"/>
        <w:ind w:firstLine="480"/>
        <w:jc w:val="both"/>
        <w:spacing w:before="0" w:after="120" w:line="360" w:lineRule="auto"/>
        <w:rPr>
          <w:rFonts w:ascii="宋体" w:hAnsi="宋体" w:eastAsia="宋体" w:cs="宋体"/>
          <w:b w:val="0"/>
          <w:bCs w:val="0"/>
          <w:color w:val="auto"/>
          <w:sz w:val="24"/>
          <w:szCs w:val="24"/>
          <w:highlight w:val="none"/>
        </w:rPr>
      </w:pPr>
      <w:r>
        <w:rPr>
          <w:rFonts w:hint="eastAsia" w:ascii="宋体" w:hAnsi="宋体" w:cs="宋体"/>
          <w:b w:val="0"/>
          <w:bCs w:val="0"/>
          <w:color w:val="auto"/>
          <w:sz w:val="24"/>
          <w:highlight w:val="none"/>
        </w:rPr>
        <w:t xml:space="preserve">13.5.2.7</w:t>
      </w:r>
      <w:r>
        <w:rPr>
          <w:rFonts w:hint="eastAsia" w:ascii="宋体" w:hAnsi="宋体" w:cs="宋体"/>
          <w:bCs w:val="0"/>
          <w:color w:val="auto"/>
          <w:sz w:val="24"/>
          <w:highlight w:val="none"/>
        </w:rPr>
        <w:t xml:space="preserve">供应商应当具备的特定资格条件：</w:t>
      </w:r>
      <w:r>
        <w:rPr>
          <w:rFonts w:hint="eastAsia" w:ascii="宋体" w:hAnsi="宋体" w:eastAsia="宋体" w:cs="宋体"/>
          <w:color w:val="auto"/>
          <w:sz w:val="24"/>
          <w:szCs w:val="24"/>
          <w:highlight w:val="none"/>
        </w:rPr>
        <w:t xml:space="preserve">投标人须经过工商登记所在地的省级自然资源主管部门土地估价机构备案</w:t>
      </w:r>
      <w:r>
        <w:rPr>
          <w:rFonts w:hint="eastAsia" w:ascii="宋体" w:hAnsi="宋体" w:eastAsia="宋体" w:cs="宋体"/>
          <w:b w:val="0"/>
          <w:bCs w:val="0"/>
          <w:color w:val="auto"/>
          <w:sz w:val="24"/>
          <w:highlight w:val="none"/>
          <w:lang w:val="zh-CN"/>
        </w:rPr>
        <w:t xml:space="preserve">【</w:t>
      </w:r>
      <w:r>
        <w:rPr>
          <w:rFonts w:hint="eastAsia" w:ascii="宋体" w:hAnsi="宋体" w:cs="宋体"/>
          <w:bCs w:val="0"/>
          <w:color w:val="auto"/>
          <w:sz w:val="24"/>
          <w:highlight w:val="none"/>
        </w:rPr>
        <w:t xml:space="preserve">提供有效期内的证书扫描件</w:t>
      </w:r>
      <w:r>
        <w:rPr>
          <w:rFonts w:hint="eastAsia" w:ascii="宋体" w:hAnsi="宋体" w:eastAsia="宋体" w:cs="宋体"/>
          <w:b w:val="0"/>
          <w:bCs w:val="0"/>
          <w:color w:val="auto"/>
          <w:sz w:val="24"/>
          <w:highlight w:val="none"/>
          <w:lang w:val="zh-CN"/>
        </w:rPr>
        <w:t xml:space="preserve">】</w:t>
      </w:r>
      <w:r>
        <w:rPr>
          <w:rFonts w:hint="eastAsia" w:ascii="宋体" w:hAnsi="宋体" w:eastAsia="宋体" w:cs="宋体"/>
          <w:color w:val="auto"/>
          <w:sz w:val="24"/>
          <w:highlight w:val="none"/>
        </w:rPr>
        <w:t xml:space="preserve">；</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rPr>
        <w:t xml:space="preserve">13.5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其它有关资格证明的文件；</w:t>
      </w:r>
      <w:r/>
    </w:p>
    <w:p>
      <w:pPr>
        <w:ind w:firstLine="480"/>
        <w:spacing w:after="181" w:line="360" w:lineRule="auto"/>
        <w:rPr>
          <w:rFonts w:ascii="宋体" w:hAnsi="宋体" w:cs="宋体"/>
          <w:b/>
          <w:bCs/>
          <w:color w:val="auto"/>
          <w:sz w:val="24"/>
          <w:highlight w:val="none"/>
          <w:lang w:val="zh-CN"/>
        </w:rPr>
        <w:outlineLvl w:val="3"/>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符合性审查投标文件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b/>
          <w:bCs/>
          <w:color w:val="auto"/>
          <w:sz w:val="24"/>
          <w:highlight w:val="none"/>
          <w:lang w:val="zh-CN"/>
        </w:rPr>
        <w:t xml:space="preserve">第四章项目需求中实质性要求（</w:t>
      </w:r>
      <w:r>
        <w:rPr>
          <w:rFonts w:hint="eastAsia" w:ascii="宋体" w:hAnsi="宋体" w:cs="宋体"/>
          <w:b/>
          <w:bCs/>
          <w:color w:val="auto"/>
          <w:sz w:val="24"/>
          <w:highlight w:val="none"/>
        </w:rPr>
        <w:t xml:space="preserve">即</w:t>
      </w:r>
      <w:r>
        <w:rPr>
          <w:rFonts w:hint="eastAsia" w:ascii="宋体" w:hAnsi="宋体" w:cs="宋体"/>
          <w:b/>
          <w:bCs/>
          <w:color w:val="auto"/>
          <w:sz w:val="24"/>
          <w:highlight w:val="none"/>
          <w:lang w:val="zh-CN"/>
        </w:rPr>
        <w:t xml:space="preserve">本招标文件第四章技术要求及商务要求中加斜体下划线内容为实质性要求）响应对照</w:t>
      </w:r>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rPr>
        <w:t xml:space="preserve">13.6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其他有关符合性证明的文件；</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rPr>
        <w:t xml:space="preserve">13.7</w:t>
      </w:r>
      <w:r>
        <w:rPr>
          <w:rFonts w:hint="eastAsia" w:ascii="宋体" w:hAnsi="宋体" w:cs="宋体"/>
          <w:color w:val="auto"/>
          <w:sz w:val="24"/>
          <w:highlight w:val="none"/>
          <w:lang w:val="zh-CN"/>
        </w:rPr>
        <w:t xml:space="preserve">综合评审投标文件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注：（</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）以上提供的资料，投标人必须提供并加盖投标单位的电子签章或公章。否则，投标文件将被认定为未实质性响应。</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）投标人所提交的资料的完整与否，将直接影响投标人的评分。</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）制作电子投标文件时将相关资料上传至相应模块。</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14、投标文件的制作、签署、上传</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.1本项目采用电子招投标形式，请供应商按照《苏采云系统供应商操作手册》进行制作、上传电子投标文件。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.2制作电子投标文件时，应按照招标文件要求加盖投标人电子公章。</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.3电子投标文件制作完成后请于投标文件网上提交截止时间前成功上传至“苏采云”系统，否则视为放弃参加该采购项目。</w:t>
      </w:r>
      <w:bookmarkStart w:id="62" w:name="_Toc25608"/>
      <w:r/>
      <w:bookmarkStart w:id="63" w:name="_Toc31150"/>
      <w:r>
        <w:rPr>
          <w:rFonts w:hint="eastAsia" w:ascii="宋体" w:hAnsi="宋体" w:cs="宋体"/>
          <w:color w:val="auto"/>
          <w:sz w:val="24"/>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2"/>
      <w:r/>
      <w:bookmarkEnd w:id="63"/>
      <w:r/>
      <w:r/>
    </w:p>
    <w:p>
      <w:pPr>
        <w:ind w:firstLine="482"/>
        <w:spacing w:after="181" w:line="360" w:lineRule="auto"/>
        <w:rPr>
          <w:rFonts w:ascii="宋体" w:hAnsi="宋体" w:cs="宋体"/>
          <w:bCs/>
          <w:color w:val="auto"/>
          <w:sz w:val="24"/>
          <w:highlight w:val="none"/>
        </w:rPr>
        <w:outlineLvl w:val="2"/>
      </w:pPr>
      <w:r>
        <w:rPr>
          <w:rFonts w:hint="eastAsia" w:ascii="宋体" w:hAnsi="宋体" w:cs="宋体"/>
          <w:b/>
          <w:bCs/>
          <w:color w:val="auto"/>
          <w:sz w:val="24"/>
          <w:highlight w:val="none"/>
        </w:rPr>
        <w:t xml:space="preserve">14.4 投标报价（编制）要求的说明</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.1项目总价应包括但不限于人员费用（工资、福利、培训、社会保险等）、服务所用设备工具购置及维修费用、</w:t>
      </w:r>
      <w:r>
        <w:rPr>
          <w:rFonts w:hint="eastAsia" w:ascii="宋体" w:hAnsi="宋体" w:cs="宋体"/>
          <w:color w:val="auto"/>
          <w:sz w:val="24"/>
          <w:highlight w:val="none"/>
        </w:rPr>
        <w:t xml:space="preserve">通讯费、交通费、资料费</w:t>
      </w:r>
      <w:r>
        <w:rPr>
          <w:rFonts w:hint="eastAsia" w:ascii="宋体" w:hAnsi="宋体" w:cs="宋体"/>
          <w:color w:val="auto"/>
          <w:sz w:val="24"/>
          <w:highlight w:val="none"/>
          <w:lang w:val="zh-CN"/>
        </w:rPr>
        <w:t xml:space="preserve">、管理费用、利润、税金、政策性文件规定及合同包含的所有风险、责任等</w:t>
      </w:r>
      <w:r>
        <w:rPr>
          <w:rFonts w:hint="eastAsia" w:ascii="宋体" w:hAnsi="宋体" w:cs="宋体"/>
          <w:color w:val="auto"/>
          <w:sz w:val="24"/>
          <w:highlight w:val="none"/>
        </w:rPr>
        <w:t xml:space="preserve">完成本项目</w:t>
      </w:r>
      <w:r>
        <w:rPr>
          <w:rFonts w:hint="eastAsia" w:ascii="宋体" w:hAnsi="宋体" w:cs="宋体"/>
          <w:color w:val="auto"/>
          <w:sz w:val="24"/>
          <w:highlight w:val="none"/>
          <w:lang w:val="zh-CN"/>
        </w:rPr>
        <w:t xml:space="preserve">各项应有费用。</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.2一项投标内容只允许一个报价，采购代理机构不接受任何有选择性的投标报价。</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投标文件报价中的单价和总价全部采用人民币表示，除非合同的特殊条款另有规定。</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.4最低的投标报价或最高的折扣比例是中标的重要条件，但不是中标的唯一条件。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.5报价必须充分考虑所有可能影响到报价的价格因素，一旦投标结束最终成交，如发生漏、缺、少项，都将被认为是中标人的报价让利行为。</w:t>
      </w:r>
      <w:r/>
    </w:p>
    <w:p>
      <w:pPr>
        <w:ind w:firstLine="482"/>
        <w:spacing w:after="181" w:line="360" w:lineRule="auto"/>
        <w:rPr>
          <w:rFonts w:ascii="宋体" w:hAnsi="宋体" w:cs="宋体"/>
          <w:b/>
          <w:bCs/>
          <w:color w:val="auto"/>
          <w:sz w:val="24"/>
          <w:highlight w:val="none"/>
        </w:rPr>
        <w:outlineLvl w:val="1"/>
      </w:pPr>
      <w:r>
        <w:rPr>
          <w:rFonts w:hint="eastAsia" w:ascii="宋体" w:hAnsi="宋体" w:cs="宋体"/>
          <w:b/>
          <w:bCs/>
          <w:color w:val="auto"/>
          <w:sz w:val="24"/>
          <w:highlight w:val="none"/>
          <w:lang w:val="zh-CN"/>
        </w:rPr>
        <w:t xml:space="preserve">1</w:t>
      </w: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zh-CN"/>
        </w:rPr>
        <w:t xml:space="preserve">、投标保证金</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本项目不收取投标保证金</w:t>
      </w:r>
      <w:r/>
    </w:p>
    <w:p>
      <w:pPr>
        <w:ind w:firstLine="482"/>
        <w:spacing w:after="181" w:line="360" w:lineRule="auto"/>
        <w:rPr>
          <w:rFonts w:ascii="宋体" w:hAnsi="宋体" w:cs="宋体"/>
          <w:b/>
          <w:color w:val="auto"/>
          <w:sz w:val="24"/>
          <w:highlight w:val="none"/>
        </w:rPr>
        <w:outlineLvl w:val="1"/>
      </w:pPr>
      <w:r>
        <w:rPr>
          <w:rFonts w:hint="eastAsia" w:ascii="宋体" w:hAnsi="宋体" w:cs="宋体"/>
          <w:b/>
          <w:bCs/>
          <w:color w:val="auto"/>
          <w:sz w:val="24"/>
          <w:highlight w:val="none"/>
          <w:lang w:val="zh-CN"/>
        </w:rPr>
        <w:t xml:space="preserve">1</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rPr>
        <w:t xml:space="preserve">、投标文件的有效期</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.1自投标截止时间之日起</w:t>
      </w:r>
      <w:r>
        <w:rPr>
          <w:rFonts w:hint="eastAsia" w:ascii="宋体" w:hAnsi="宋体" w:cs="宋体"/>
          <w:color w:val="auto"/>
          <w:sz w:val="24"/>
          <w:highlight w:val="none"/>
        </w:rPr>
        <w:t xml:space="preserve">90</w:t>
      </w:r>
      <w:r>
        <w:rPr>
          <w:rFonts w:hint="eastAsia" w:ascii="宋体" w:hAnsi="宋体" w:cs="宋体"/>
          <w:color w:val="auto"/>
          <w:sz w:val="24"/>
          <w:highlight w:val="none"/>
          <w:lang w:val="zh-CN"/>
        </w:rPr>
        <w:t xml:space="preserve">天，投标书应保持有效。有效期短于这个规定期限的投标，将被拒绝。</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.2在特殊情况下，采购代理机构可与投标人协商延长投标书的有效期。这种要求和答复都应以书面、传真的形式进行。 同意延长有效期的投标人不能修改电子投标文件。</w:t>
      </w:r>
      <w:r/>
    </w:p>
    <w:p>
      <w:pPr>
        <w:ind w:firstLine="482"/>
        <w:spacing w:after="181" w:line="360" w:lineRule="auto"/>
        <w:rPr>
          <w:rFonts w:ascii="宋体" w:hAnsi="宋体" w:cs="宋体"/>
          <w:b/>
          <w:bCs/>
          <w:color w:val="auto"/>
          <w:sz w:val="24"/>
          <w:highlight w:val="none"/>
          <w:lang w:val="zh-CN"/>
        </w:rPr>
        <w:outlineLvl w:val="2"/>
      </w:pPr>
      <w:r>
        <w:rPr>
          <w:rFonts w:hint="eastAsia" w:ascii="宋体" w:hAnsi="宋体" w:cs="宋体"/>
          <w:b/>
          <w:bCs/>
          <w:color w:val="auto"/>
          <w:sz w:val="24"/>
          <w:highlight w:val="none"/>
          <w:lang w:val="zh-CN"/>
        </w:rPr>
        <w:t xml:space="preserve">五、投标文件的递交、补充、修改和撤回</w:t>
      </w:r>
      <w:r/>
    </w:p>
    <w:p>
      <w:pPr>
        <w:ind w:firstLine="482"/>
        <w:spacing w:after="181" w:line="360" w:lineRule="auto"/>
        <w:rPr>
          <w:rFonts w:ascii="宋体" w:hAnsi="宋体" w:cs="宋体"/>
          <w:color w:val="auto"/>
          <w:sz w:val="24"/>
          <w:highlight w:val="none"/>
          <w:lang w:val="zh-CN"/>
        </w:rPr>
        <w:outlineLvl w:val="1"/>
      </w:pPr>
      <w:r>
        <w:rPr>
          <w:rFonts w:hint="eastAsia" w:ascii="宋体" w:hAnsi="宋体" w:cs="宋体"/>
          <w:b/>
          <w:bCs/>
          <w:color w:val="auto"/>
          <w:sz w:val="24"/>
          <w:highlight w:val="none"/>
        </w:rPr>
        <w:t xml:space="preserve">17</w:t>
      </w:r>
      <w:r>
        <w:rPr>
          <w:rFonts w:hint="eastAsia" w:ascii="宋体" w:hAnsi="宋体" w:cs="宋体"/>
          <w:b/>
          <w:bCs/>
          <w:color w:val="auto"/>
          <w:sz w:val="24"/>
          <w:highlight w:val="none"/>
          <w:lang w:val="zh-CN"/>
        </w:rPr>
        <w:t xml:space="preserve">.投标文件的递交</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rPr>
        <w:t xml:space="preserve">17</w:t>
      </w:r>
      <w:r>
        <w:rPr>
          <w:rFonts w:hint="eastAsia" w:ascii="宋体" w:hAnsi="宋体" w:cs="宋体"/>
          <w:color w:val="auto"/>
          <w:sz w:val="24"/>
          <w:highlight w:val="none"/>
          <w:lang w:val="zh-CN"/>
        </w:rPr>
        <w:t xml:space="preserve">.1投标人应当在在投标截止时间前制作并上传电子投标文件。</w:t>
      </w:r>
      <w:r/>
    </w:p>
    <w:p>
      <w:pPr>
        <w:ind w:firstLine="482"/>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17</w:t>
      </w:r>
      <w:r>
        <w:rPr>
          <w:rFonts w:hint="eastAsia" w:ascii="宋体" w:hAnsi="宋体" w:cs="宋体"/>
          <w:color w:val="auto"/>
          <w:sz w:val="24"/>
          <w:highlight w:val="none"/>
          <w:lang w:val="zh-CN"/>
        </w:rPr>
        <w:t xml:space="preserve">.2投标人通过“苏采云”系统不见面开标大厅在线参与开标活动。（具体操作详见《苏采云系统供应商操作手册》，网址链接https://czju.suzhou.gov.cn/zfcg/html/content/20231220161910031.shtml）。</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rPr>
        <w:t xml:space="preserve">18.</w:t>
      </w:r>
      <w:r>
        <w:rPr>
          <w:rFonts w:hint="eastAsia" w:ascii="宋体" w:hAnsi="宋体" w:cs="宋体"/>
          <w:b/>
          <w:bCs/>
          <w:color w:val="auto"/>
          <w:sz w:val="24"/>
          <w:highlight w:val="none"/>
          <w:lang w:val="zh-CN"/>
        </w:rPr>
        <w:t xml:space="preserve">投标文件的拒收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val="zh-CN"/>
        </w:rPr>
        <w:t xml:space="preserve">拒绝接收在其规定的投标截止时间后上传的任何投标文件。</w:t>
      </w:r>
      <w:r/>
    </w:p>
    <w:p>
      <w:pPr>
        <w:ind w:firstLine="482"/>
        <w:spacing w:after="181" w:line="360" w:lineRule="auto"/>
        <w:rPr>
          <w:rFonts w:ascii="宋体" w:hAnsi="宋体" w:cs="宋体"/>
          <w:b/>
          <w:bCs/>
          <w:color w:val="auto"/>
          <w:sz w:val="24"/>
          <w:highlight w:val="none"/>
          <w:lang w:val="zh-CN"/>
        </w:rPr>
        <w:outlineLvl w:val="1"/>
      </w:pPr>
      <w:r/>
      <w:bookmarkStart w:id="64" w:name="_Toc16938544"/>
      <w:r/>
      <w:bookmarkStart w:id="65" w:name="_Toc513029228"/>
      <w:r/>
      <w:bookmarkStart w:id="66" w:name="_Toc20823300"/>
      <w:r>
        <w:rPr>
          <w:rFonts w:hint="eastAsia" w:ascii="宋体" w:hAnsi="宋体" w:cs="宋体"/>
          <w:b/>
          <w:bCs/>
          <w:color w:val="auto"/>
          <w:sz w:val="24"/>
          <w:highlight w:val="none"/>
        </w:rPr>
        <w:t xml:space="preserve">19</w:t>
      </w:r>
      <w:r>
        <w:rPr>
          <w:rFonts w:hint="eastAsia" w:ascii="宋体" w:hAnsi="宋体" w:cs="宋体"/>
          <w:b/>
          <w:bCs/>
          <w:color w:val="auto"/>
          <w:sz w:val="24"/>
          <w:highlight w:val="none"/>
          <w:lang w:val="zh-CN"/>
        </w:rPr>
        <w:t xml:space="preserve">、投标文件的撤回和修改</w:t>
      </w:r>
      <w:bookmarkEnd w:id="64"/>
      <w:r/>
      <w:bookmarkEnd w:id="65"/>
      <w:r/>
      <w:bookmarkEnd w:id="66"/>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 投标文件的撤回</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.1.1 电子投标文件的撤回</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投标人可在投标截止时间前，撤回其电子投标文件，具体操作方法见《操作手册》。</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19</w:t>
      </w:r>
      <w:r>
        <w:rPr>
          <w:rFonts w:hint="eastAsia" w:ascii="宋体" w:hAnsi="宋体" w:cs="宋体"/>
          <w:color w:val="auto"/>
          <w:sz w:val="24"/>
          <w:highlight w:val="none"/>
          <w:lang w:val="zh-CN"/>
        </w:rPr>
        <w:t xml:space="preserve">.1.2 投标人撤回电子投标文件，则认为其不再参与本项目投标活动。</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20、投标文件的修改</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20.1投标人可在投标截止时间前，对其电子投标文件进行修改，具体操作方法见《操作手册》。</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20.2 在投标截止时间之后，投标人不得对其电子投标文件作任何修改。</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20.3 在投标截止时间至招标文件中规定的投标有效期满之间的这段时间内，投标人不得撤回其投标。</w:t>
      </w:r>
      <w:r/>
    </w:p>
    <w:p>
      <w:pPr>
        <w:ind w:firstLine="482"/>
        <w:spacing w:after="181" w:line="360" w:lineRule="auto"/>
        <w:rPr>
          <w:rFonts w:ascii="宋体" w:hAnsi="宋体" w:cs="宋体"/>
          <w:b/>
          <w:bCs/>
          <w:color w:val="auto"/>
          <w:sz w:val="24"/>
          <w:highlight w:val="none"/>
          <w:lang w:val="zh-CN"/>
        </w:rPr>
        <w:outlineLvl w:val="2"/>
      </w:pPr>
      <w:r>
        <w:rPr>
          <w:rFonts w:hint="eastAsia" w:ascii="宋体" w:hAnsi="宋体" w:cs="宋体"/>
          <w:b/>
          <w:bCs/>
          <w:color w:val="auto"/>
          <w:sz w:val="24"/>
          <w:highlight w:val="none"/>
          <w:lang w:val="zh-CN"/>
        </w:rPr>
        <w:t xml:space="preserve">六、开标和评标 </w:t>
      </w:r>
      <w:r/>
    </w:p>
    <w:p>
      <w:pPr>
        <w:ind w:firstLine="482"/>
        <w:spacing w:after="181"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21</w:t>
      </w:r>
      <w:r>
        <w:rPr>
          <w:rFonts w:hint="eastAsia" w:ascii="宋体" w:hAnsi="宋体" w:cs="宋体"/>
          <w:b/>
          <w:bCs/>
          <w:color w:val="auto"/>
          <w:sz w:val="24"/>
          <w:highlight w:val="none"/>
          <w:lang w:val="zh-CN"/>
        </w:rPr>
        <w:t xml:space="preserve">、开标</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21.2开标仪式由采购代理机构组织。苏采云系统将自动对项目进行开标，并宣布各投标人名称和投标价格。</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21.3投标人在开标过程中涉及到的投标文件解密、开标结果确认等工作，应按照《操作手册》规定执行。</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spacing w:after="181" w:line="360" w:lineRule="auto"/>
        <w:rPr>
          <w:rFonts w:ascii="宋体" w:hAnsi="宋体" w:cs="宋体"/>
          <w:b/>
          <w:bCs/>
          <w:color w:val="auto"/>
          <w:sz w:val="24"/>
          <w:highlight w:val="none"/>
          <w:lang w:val="zh-CN"/>
        </w:rPr>
        <w:outlineLvl w:val="1"/>
      </w:pPr>
      <w:r/>
      <w:bookmarkStart w:id="67" w:name="_Toc20823303"/>
      <w:r/>
      <w:bookmarkStart w:id="68" w:name="_Toc16938547"/>
      <w:r/>
      <w:bookmarkStart w:id="69" w:name="_Toc513029231"/>
      <w:r>
        <w:rPr>
          <w:rFonts w:hint="eastAsia" w:ascii="宋体" w:hAnsi="宋体" w:cs="宋体"/>
          <w:b/>
          <w:bCs/>
          <w:color w:val="auto"/>
          <w:sz w:val="24"/>
          <w:highlight w:val="none"/>
          <w:lang w:val="zh-CN"/>
        </w:rPr>
        <w:t xml:space="preserve">22、评标委员会</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22.1 开标后，采购代理机构将立即组织评标委员会（以下简称评委会）进行评标。</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22.2 评委会由采购人代表和有关技术、经济等方面的专家组成，且人员构成符合政府采购有关规定。</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22.3评委会独立工作，负责评审所有投标文件并确定中标侯选人。</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23、评标过程的保密与公正</w:t>
      </w:r>
      <w:bookmarkEnd w:id="67"/>
      <w:r/>
      <w:bookmarkEnd w:id="68"/>
      <w:r/>
      <w:bookmarkEnd w:id="69"/>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23.1凡是与审查、澄清、评价和比较投标的有关资料以及授标建议等，采购人、评委、采购代理机构均不得向投标人或与评标无关的其他人员透露。</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23.2在评标过程中，投标人不得以任何行为影响评标过程，否则其投标文件将被作为无效投标文件。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23.3 采购代理机构和评标委员会不向未中标的投标人解释未中标原因，也不公布评标过程中的相关细节。</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23.4 采用综合评分法的项目，未中标的投标人可于中标结果公告期限届满之日起通过苏采云系统查看自己的评审得分及排序情况。</w:t>
      </w:r>
      <w:r/>
    </w:p>
    <w:p>
      <w:pPr>
        <w:ind w:firstLine="482"/>
        <w:spacing w:after="181" w:line="360" w:lineRule="auto"/>
        <w:rPr>
          <w:rFonts w:ascii="宋体" w:hAnsi="宋体" w:cs="宋体"/>
          <w:b/>
          <w:bCs/>
          <w:color w:val="auto"/>
          <w:sz w:val="24"/>
          <w:highlight w:val="none"/>
          <w:lang w:val="zh-CN"/>
        </w:rPr>
        <w:outlineLvl w:val="1"/>
      </w:pPr>
      <w:r/>
      <w:bookmarkStart w:id="70" w:name="_Toc20823304"/>
      <w:r/>
      <w:bookmarkStart w:id="71" w:name="_Toc513029232"/>
      <w:r/>
      <w:bookmarkStart w:id="72" w:name="_Toc16938548"/>
      <w:r>
        <w:rPr>
          <w:rFonts w:hint="eastAsia" w:ascii="宋体" w:hAnsi="宋体" w:cs="宋体"/>
          <w:b/>
          <w:bCs/>
          <w:color w:val="auto"/>
          <w:sz w:val="24"/>
          <w:highlight w:val="none"/>
          <w:lang w:val="zh-CN"/>
        </w:rPr>
        <w:t xml:space="preserve">24、投标文件的澄清</w:t>
      </w:r>
      <w:bookmarkEnd w:id="70"/>
      <w:r/>
      <w:bookmarkEnd w:id="71"/>
      <w:r/>
      <w:bookmarkEnd w:id="72"/>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24.1评标期间，评委会对投标文件中含义不明确、同类问题表述不一致或者有明显文字和计算错误的内容 ，有权要求投标人作出必要的澄清、说明或者补正。</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投标人的澄清、说明或者补正不得超出投标文件的范围或者改变投标文件的实质性内容。</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评标委员会并非对每个投标人都做澄清要求。</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24.3 接到评委会澄清、说明和补正要求的投标人如未按规定做出澄清、说明和补正，其风险由投标人自行承担。</w:t>
      </w:r>
      <w:r/>
    </w:p>
    <w:p>
      <w:pPr>
        <w:ind w:firstLine="482"/>
        <w:spacing w:after="181" w:line="360" w:lineRule="auto"/>
        <w:rPr>
          <w:rFonts w:ascii="宋体" w:hAnsi="宋体" w:cs="宋体"/>
          <w:b/>
          <w:bCs/>
          <w:color w:val="auto"/>
          <w:sz w:val="24"/>
          <w:highlight w:val="none"/>
          <w:lang w:val="zh-CN"/>
        </w:rPr>
        <w:outlineLvl w:val="1"/>
      </w:pPr>
      <w:r/>
      <w:bookmarkStart w:id="73" w:name="_Toc16938549"/>
      <w:r/>
      <w:bookmarkStart w:id="74" w:name="_Toc513029233"/>
      <w:r/>
      <w:bookmarkStart w:id="75" w:name="_Toc20823305"/>
      <w:r>
        <w:rPr>
          <w:rFonts w:hint="eastAsia" w:ascii="宋体" w:hAnsi="宋体" w:cs="宋体"/>
          <w:b/>
          <w:bCs/>
          <w:color w:val="auto"/>
          <w:sz w:val="24"/>
          <w:highlight w:val="none"/>
          <w:lang w:val="zh-CN"/>
        </w:rPr>
        <w:t xml:space="preserve">25、对投标文件的初审</w:t>
      </w:r>
      <w:bookmarkEnd w:id="73"/>
      <w:r/>
      <w:bookmarkEnd w:id="74"/>
      <w:r/>
      <w:bookmarkEnd w:id="75"/>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25.1投标文件初审分为资格审查和符合性审查。</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25.4评委会将对确定为实质性响应的投标进行进一步审核，确定其是否有计算上或累加上的算术错误，修正错误的原则如下：</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（1）投标文件中开标一览表内容与投标文件中相应内容不一致的，以开标一览表为准。</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（2）大写金额和小写金额不一致的，以大写金额为准。</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（3）单价金额小数点或者百分比有明显错位的，以开标一览表的总价为准，并修改单价。</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（4）总价金额与按单价汇总金额不一致的，以单价金额计算结果为准。</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同时出现两种以上错误的，按照前款规定的顺序修正。</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after="181" w:line="360" w:lineRule="auto"/>
        <w:rPr>
          <w:rFonts w:ascii="宋体" w:hAnsi="宋体" w:cs="宋体"/>
          <w:color w:val="auto"/>
          <w:sz w:val="24"/>
          <w:highlight w:val="none"/>
          <w:lang w:val="zh-CN"/>
        </w:rPr>
      </w:pPr>
      <w:r/>
      <w:bookmarkStart w:id="76" w:name="_Toc16938550"/>
      <w:r/>
      <w:bookmarkStart w:id="77" w:name="_Toc513029234"/>
      <w:r/>
      <w:bookmarkStart w:id="78" w:name="_Toc20823306"/>
      <w:r>
        <w:rPr>
          <w:rFonts w:hint="eastAsia" w:ascii="宋体" w:hAnsi="宋体" w:cs="宋体"/>
          <w:color w:val="auto"/>
          <w:sz w:val="24"/>
          <w:highlight w:val="none"/>
          <w:lang w:val="zh-CN"/>
        </w:rPr>
        <w:t xml:space="preserve">25.6投标人在开、评标全过程中应保持通讯畅通，及时登录苏采云系统查阅、答复相关信息，并安排专人与采购代理机构及评标委员会联系。</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26、</w:t>
      </w:r>
      <w:bookmarkEnd w:id="76"/>
      <w:r/>
      <w:bookmarkEnd w:id="77"/>
      <w:r/>
      <w:bookmarkEnd w:id="78"/>
      <w:r>
        <w:rPr>
          <w:rFonts w:hint="eastAsia" w:ascii="宋体" w:hAnsi="宋体" w:cs="宋体"/>
          <w:b/>
          <w:bCs/>
          <w:color w:val="auto"/>
          <w:sz w:val="24"/>
          <w:highlight w:val="none"/>
          <w:lang w:val="zh-CN"/>
        </w:rPr>
        <w:t xml:space="preserve">无效投标条款和废标条款</w:t>
      </w:r>
      <w:r/>
    </w:p>
    <w:p>
      <w:pPr>
        <w:ind w:firstLine="482"/>
        <w:spacing w:after="181" w:line="360" w:lineRule="auto"/>
        <w:rPr>
          <w:rFonts w:ascii="宋体" w:hAnsi="宋体" w:cs="宋体"/>
          <w:b/>
          <w:bCs/>
          <w:color w:val="auto"/>
          <w:sz w:val="24"/>
          <w:highlight w:val="none"/>
          <w:lang w:val="zh-CN"/>
        </w:rPr>
        <w:outlineLvl w:val="2"/>
      </w:pPr>
      <w:r/>
      <w:bookmarkStart w:id="79" w:name="_Toc513029235"/>
      <w:r/>
      <w:bookmarkStart w:id="80" w:name="_Toc16938551"/>
      <w:r/>
      <w:bookmarkStart w:id="81" w:name="_Toc20823307"/>
      <w:r>
        <w:rPr>
          <w:rFonts w:hint="eastAsia" w:ascii="宋体" w:hAnsi="宋体" w:cs="宋体"/>
          <w:b/>
          <w:bCs/>
          <w:color w:val="auto"/>
          <w:sz w:val="24"/>
          <w:highlight w:val="none"/>
          <w:lang w:val="zh-CN"/>
        </w:rPr>
        <w:t xml:space="preserve">26.1无效投标条款</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26.1.1 投标人在苏采云系统规定的时间内未成功解密电子投标文件的。</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26.1.2 投标人未按照招标文件要求上传电子投标文件的。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26.1.3同一投标人提交两个（含两个）以上不同的投标报价的。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26.1.4投标人不具备招标文件中规定资格要求的。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26.1.5投标人的报价超过了采购预算或最高限价的。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26.1.6未通过符合性审查的。</w:t>
      </w:r>
      <w:r/>
    </w:p>
    <w:p>
      <w:pPr>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26.1.7不符合</w:t>
      </w:r>
      <w:bookmarkStart w:id="82" w:name="OLE_LINK53"/>
      <w:r>
        <w:rPr>
          <w:rFonts w:hint="eastAsia" w:ascii="宋体" w:hAnsi="宋体" w:cs="宋体"/>
          <w:color w:val="auto"/>
          <w:sz w:val="24"/>
          <w:highlight w:val="none"/>
          <w:lang w:val="zh-CN"/>
        </w:rPr>
        <w:t xml:space="preserve">招标文件中规定的实质性要求和条件的</w:t>
      </w:r>
      <w:r>
        <w:rPr>
          <w:rFonts w:hint="eastAsia" w:ascii="宋体" w:hAnsi="宋体" w:cs="宋体"/>
          <w:b/>
          <w:bCs/>
          <w:color w:val="auto"/>
          <w:sz w:val="24"/>
          <w:highlight w:val="none"/>
          <w:lang w:val="zh-CN"/>
        </w:rPr>
        <w:t xml:space="preserve">（本招标文件第四章技术要求</w:t>
      </w:r>
      <w:r>
        <w:rPr>
          <w:rFonts w:hint="eastAsia" w:ascii="宋体" w:hAnsi="宋体" w:cs="宋体"/>
          <w:b/>
          <w:bCs/>
          <w:color w:val="auto"/>
          <w:sz w:val="24"/>
          <w:highlight w:val="none"/>
        </w:rPr>
        <w:t xml:space="preserve">及商务要求</w:t>
      </w:r>
      <w:r>
        <w:rPr>
          <w:rFonts w:hint="eastAsia" w:ascii="宋体" w:hAnsi="宋体" w:cs="宋体"/>
          <w:b/>
          <w:bCs/>
          <w:color w:val="auto"/>
          <w:sz w:val="24"/>
          <w:highlight w:val="none"/>
          <w:lang w:val="zh-CN"/>
        </w:rPr>
        <w:t xml:space="preserve">中加斜体下划线内容为实质性要求和条件）</w:t>
      </w:r>
      <w:bookmarkEnd w:id="82"/>
      <w:r>
        <w:rPr>
          <w:rFonts w:hint="eastAsia" w:ascii="宋体" w:hAnsi="宋体" w:cs="宋体"/>
          <w:color w:val="auto"/>
          <w:sz w:val="24"/>
          <w:highlight w:val="none"/>
          <w:lang w:val="zh-CN"/>
        </w:rPr>
        <w:t xml:space="preserve">。</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26.1.9 投标文件含有采购人不能接受的附加条件的。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26.1.11 投标文件未按照招标文件要求加盖CA电子公章的。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26.1.12其他法律、法规及本招标文件规定的属无效投标的情形。</w:t>
      </w:r>
      <w:r/>
    </w:p>
    <w:p>
      <w:pPr>
        <w:ind w:firstLine="482"/>
        <w:spacing w:after="181" w:line="360" w:lineRule="auto"/>
        <w:rPr>
          <w:rFonts w:ascii="宋体" w:hAnsi="宋体" w:cs="宋体"/>
          <w:b/>
          <w:bCs/>
          <w:color w:val="auto"/>
          <w:sz w:val="24"/>
          <w:highlight w:val="none"/>
          <w:lang w:val="zh-CN"/>
        </w:rPr>
        <w:outlineLvl w:val="2"/>
      </w:pPr>
      <w:r>
        <w:rPr>
          <w:rFonts w:hint="eastAsia" w:ascii="宋体" w:hAnsi="宋体" w:cs="宋体"/>
          <w:b/>
          <w:bCs/>
          <w:color w:val="auto"/>
          <w:sz w:val="24"/>
          <w:highlight w:val="none"/>
          <w:lang w:val="zh-CN"/>
        </w:rPr>
        <w:t xml:space="preserve">26.2废标条款</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26.2.1符合专业条件的供应商或者对招标文件作实质响应的供应商不足三家的。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26.2.2出现影响采购公正的违法、违规行为的。</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26.2.3因重大变故，采购任务取消的。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26.2.4评标委员会认定招标文件存在歧义、重大缺陷导致评审工作无法进行。</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26.2.5 因苏采云系统系统故障原因造成开标不成功的。</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26.3 投标截止时间结束后参加投标的供应商不足三家的处理：</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spacing w:after="181" w:line="360" w:lineRule="auto"/>
        <w:rPr>
          <w:rFonts w:ascii="宋体" w:hAnsi="宋体" w:cs="宋体"/>
          <w:b/>
          <w:bCs/>
          <w:color w:val="auto"/>
          <w:sz w:val="24"/>
          <w:highlight w:val="none"/>
          <w:lang w:val="zh-CN"/>
        </w:rPr>
        <w:outlineLvl w:val="3"/>
      </w:pPr>
      <w:r/>
      <w:bookmarkStart w:id="83" w:name="_Toc120614219"/>
      <w:r>
        <w:rPr>
          <w:rFonts w:hint="eastAsia" w:ascii="宋体" w:hAnsi="宋体" w:cs="宋体"/>
          <w:b/>
          <w:bCs/>
          <w:color w:val="auto"/>
          <w:sz w:val="24"/>
          <w:highlight w:val="none"/>
          <w:lang w:val="zh-CN"/>
        </w:rPr>
        <w:t xml:space="preserve">六、</w:t>
      </w:r>
      <w:bookmarkEnd w:id="79"/>
      <w:r/>
      <w:bookmarkEnd w:id="80"/>
      <w:r/>
      <w:bookmarkEnd w:id="81"/>
      <w:r>
        <w:rPr>
          <w:rFonts w:hint="eastAsia" w:ascii="宋体" w:hAnsi="宋体" w:cs="宋体"/>
          <w:b/>
          <w:bCs/>
          <w:color w:val="auto"/>
          <w:sz w:val="24"/>
          <w:highlight w:val="none"/>
          <w:lang w:val="zh-CN"/>
        </w:rPr>
        <w:t xml:space="preserve">定标</w:t>
      </w:r>
      <w:bookmarkEnd w:id="83"/>
      <w:r/>
      <w:r/>
    </w:p>
    <w:p>
      <w:pPr>
        <w:ind w:firstLine="482"/>
        <w:spacing w:after="181" w:line="360" w:lineRule="auto"/>
        <w:rPr>
          <w:rFonts w:ascii="宋体" w:hAnsi="宋体" w:cs="宋体"/>
          <w:b/>
          <w:bCs/>
          <w:color w:val="auto"/>
          <w:sz w:val="24"/>
          <w:highlight w:val="none"/>
          <w:lang w:val="zh-CN"/>
        </w:rPr>
        <w:outlineLvl w:val="1"/>
      </w:pPr>
      <w:r/>
      <w:bookmarkStart w:id="84" w:name="_Toc513029238"/>
      <w:r/>
      <w:bookmarkStart w:id="85" w:name="_Toc20823310"/>
      <w:r/>
      <w:bookmarkStart w:id="86" w:name="_Toc16938554"/>
      <w:r>
        <w:rPr>
          <w:rFonts w:hint="eastAsia" w:ascii="宋体" w:hAnsi="宋体" w:cs="宋体"/>
          <w:b/>
          <w:bCs/>
          <w:color w:val="auto"/>
          <w:sz w:val="24"/>
          <w:highlight w:val="none"/>
          <w:lang w:val="zh-CN"/>
        </w:rPr>
        <w:t xml:space="preserve">27、</w:t>
      </w:r>
      <w:bookmarkEnd w:id="84"/>
      <w:r>
        <w:rPr>
          <w:rFonts w:hint="eastAsia" w:ascii="宋体" w:hAnsi="宋体" w:cs="宋体"/>
          <w:b/>
          <w:bCs/>
          <w:color w:val="auto"/>
          <w:sz w:val="24"/>
          <w:highlight w:val="none"/>
          <w:lang w:val="zh-CN"/>
        </w:rPr>
        <w:t xml:space="preserve">确定</w:t>
      </w:r>
      <w:bookmarkEnd w:id="85"/>
      <w:r/>
      <w:bookmarkEnd w:id="86"/>
      <w:r>
        <w:rPr>
          <w:rFonts w:hint="eastAsia" w:ascii="宋体" w:hAnsi="宋体" w:cs="宋体"/>
          <w:b/>
          <w:bCs/>
          <w:color w:val="auto"/>
          <w:sz w:val="24"/>
          <w:highlight w:val="none"/>
          <w:lang w:val="zh-CN"/>
        </w:rPr>
        <w:t xml:space="preserve">中标单位</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27.1中标候选人的选取原则和数量见招标文件规定。 </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27.2 采购人应根据评委会推荐的中标候选人确定中标人。</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27.3 采购代理机构将在“苏州市政府采购网”发布中标公告，公告期限为1个工作日。</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27.4 若有充分证据证明，中标人出现下列情况之一的，一经查实，将被取消中标资格：</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27.4.1提供虚假材料谋取中标的。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27.4.2向采购人、采购代理机构行贿或者提供其他不正当利益的。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27.4.3属于本文件规定的无效条件，但在评标过程中又未被评委会发现的。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27.4.4与采购人或者其他供应商恶意串通的。</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27.4.5采取不正当手段诋毁、排挤其他供应商的。</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27.5 有下列情形之一的，视为投标人串通投标，投标无效：</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27.5.1不同投标人的投标文件由同一单位或者个人编制。</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27.5.2不同投标人委托同一单位或者个人办理投标事宜。</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27.5.3 不同投标人的投标文件载明的项目管理成员或者联系人员为同一人。</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27.5.4不同投标人的投标文件异常一致或者投标报价呈规律性差异。</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8</w:t>
      </w:r>
      <w:r>
        <w:rPr>
          <w:rFonts w:hint="eastAsia" w:ascii="宋体" w:hAnsi="宋体" w:cs="宋体"/>
          <w:b/>
          <w:bCs/>
          <w:color w:val="auto"/>
          <w:sz w:val="24"/>
          <w:highlight w:val="none"/>
          <w:lang w:val="zh-CN"/>
        </w:rPr>
        <w:t xml:space="preserve">、投标文件的评价和比较</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.1评标委员会将仅对按招标文件有关规定确定为实质上响应招标文件要求的投标文件进行评价和比较。</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.3 最低的投标报价或最高的折扣比例是中标的重要条件，但不是唯一条件。</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28.4根据省财政厅最新通知要求《财政部关于推动解决政府采购异常低价问题的通知》（财库〔2026】2号）文件；评审委员会启动异常低价投标（响应）审查的情形和具体要求，包括：</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一、评审过程中出现下列情形之一的，评审委员会应当启动异常低价投标（响应）审查程序：</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1.投标（响应）报价低于全部通过符合性审查供应商投标（响应）报价平均50%的，即投标（响应）报价&lt;全部通过符合性审查供应商投标（响应）报价平均值×50%；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3.投标（响应）报价低于采购项目最高限价45%的，即投标（响应）报价&lt;采购项目最高限价×45%；</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after="181" w:line="360" w:lineRule="auto"/>
        <w:tabs>
          <w:tab w:val="left" w:pos="567" w:leader="none"/>
        </w:tabs>
        <w:rPr>
          <w:rFonts w:ascii="宋体" w:hAnsi="宋体" w:cs="宋体"/>
          <w:b/>
          <w:bCs/>
          <w:color w:val="auto"/>
          <w:sz w:val="24"/>
          <w:highlight w:val="none"/>
          <w:lang w:val="zh-CN"/>
        </w:rPr>
        <w:outlineLvl w:val="2"/>
      </w:pPr>
      <w:r>
        <w:rPr>
          <w:rFonts w:hint="eastAsia" w:ascii="宋体" w:hAnsi="宋体" w:cs="宋体"/>
          <w:b/>
          <w:bCs/>
          <w:color w:val="auto"/>
          <w:sz w:val="24"/>
          <w:highlight w:val="none"/>
          <w:lang w:val="zh-CN"/>
        </w:rPr>
        <w:t xml:space="preserve">七、确定中标原则：</w:t>
      </w:r>
      <w:r/>
    </w:p>
    <w:p>
      <w:pPr>
        <w:ind w:firstLine="482"/>
        <w:spacing w:after="181" w:line="360" w:lineRule="auto"/>
        <w:tabs>
          <w:tab w:val="left" w:pos="567" w:leader="none"/>
        </w:tabs>
        <w:rPr>
          <w:rFonts w:ascii="宋体" w:hAnsi="宋体" w:cs="宋体"/>
          <w:b/>
          <w:bCs/>
          <w:color w:val="auto"/>
          <w:sz w:val="24"/>
          <w:highlight w:val="none"/>
          <w:lang w:val="zh-CN"/>
        </w:rPr>
        <w:outlineLvl w:val="1"/>
      </w:pPr>
      <w:r>
        <w:rPr>
          <w:rFonts w:hint="eastAsia" w:ascii="宋体" w:hAnsi="宋体" w:cs="宋体"/>
          <w:b/>
          <w:bCs/>
          <w:color w:val="auto"/>
          <w:sz w:val="24"/>
          <w:highlight w:val="none"/>
        </w:rPr>
        <w:t xml:space="preserve">29.</w:t>
      </w:r>
      <w:r>
        <w:rPr>
          <w:rFonts w:hint="eastAsia" w:ascii="宋体" w:hAnsi="宋体" w:cs="宋体"/>
          <w:b/>
          <w:bCs/>
          <w:color w:val="auto"/>
          <w:sz w:val="24"/>
          <w:highlight w:val="none"/>
          <w:lang w:val="zh-CN"/>
        </w:rPr>
        <w:t xml:space="preserve">本次评标采用综合评分法</w:t>
      </w:r>
      <w:r/>
    </w:p>
    <w:p>
      <w:pPr>
        <w:ind w:firstLine="480"/>
        <w:spacing w:after="181" w:line="360" w:lineRule="auto"/>
        <w:tabs>
          <w:tab w:val="left" w:pos="567"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p>
    <w:p>
      <w:pPr>
        <w:ind w:firstLine="480"/>
        <w:spacing w:after="181" w:line="360" w:lineRule="auto"/>
        <w:tabs>
          <w:tab w:val="left" w:pos="567"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£根据委托代理协议内容，由采购人授权评标委员会直接确定中标供应商。</w:t>
      </w:r>
      <w:bookmarkStart w:id="87" w:name="_Toc2583655"/>
      <w:r/>
      <w:r/>
    </w:p>
    <w:p>
      <w:pPr>
        <w:ind w:firstLine="482"/>
        <w:spacing w:after="181" w:line="360" w:lineRule="auto"/>
        <w:rPr>
          <w:rFonts w:ascii="宋体" w:hAnsi="宋体" w:cs="宋体"/>
          <w:b/>
          <w:color w:val="auto"/>
          <w:sz w:val="24"/>
          <w:highlight w:val="none"/>
          <w:lang w:val="zh-CN"/>
        </w:rPr>
        <w:outlineLvl w:val="2"/>
      </w:pPr>
      <w:r>
        <w:rPr>
          <w:rFonts w:hint="eastAsia" w:ascii="宋体" w:hAnsi="宋体" w:cs="宋体"/>
          <w:b/>
          <w:color w:val="auto"/>
          <w:sz w:val="24"/>
          <w:highlight w:val="none"/>
          <w:lang w:val="zh-CN"/>
        </w:rPr>
        <w:t xml:space="preserve">八、</w:t>
      </w:r>
      <w:bookmarkEnd w:id="87"/>
      <w:r>
        <w:rPr>
          <w:rFonts w:hint="eastAsia" w:ascii="宋体" w:hAnsi="宋体" w:cs="宋体"/>
          <w:b/>
          <w:color w:val="auto"/>
          <w:sz w:val="24"/>
          <w:highlight w:val="none"/>
          <w:lang w:val="zh-CN"/>
        </w:rPr>
        <w:t xml:space="preserve">中标通知书</w:t>
      </w:r>
      <w:r/>
    </w:p>
    <w:p>
      <w:pPr>
        <w:ind w:firstLine="480"/>
        <w:spacing w:after="181"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30</w:t>
      </w:r>
      <w:r>
        <w:rPr>
          <w:rFonts w:hint="eastAsia" w:ascii="宋体" w:hAnsi="宋体" w:cs="宋体"/>
          <w:bCs/>
          <w:color w:val="auto"/>
          <w:sz w:val="24"/>
          <w:highlight w:val="none"/>
          <w:lang w:val="zh-CN"/>
        </w:rPr>
        <w:t xml:space="preserve">.l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after="181"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30</w:t>
      </w:r>
      <w:r>
        <w:rPr>
          <w:rFonts w:hint="eastAsia" w:ascii="宋体" w:hAnsi="宋体" w:cs="宋体"/>
          <w:bCs/>
          <w:color w:val="auto"/>
          <w:sz w:val="24"/>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p>
    <w:p>
      <w:pPr>
        <w:ind w:firstLine="482"/>
        <w:spacing w:after="181" w:line="360" w:lineRule="auto"/>
        <w:rPr>
          <w:rFonts w:ascii="宋体" w:hAnsi="宋体" w:cs="宋体"/>
          <w:b/>
          <w:color w:val="auto"/>
          <w:sz w:val="24"/>
          <w:highlight w:val="none"/>
          <w:lang w:val="zh-CN"/>
        </w:rPr>
        <w:outlineLvl w:val="2"/>
      </w:pPr>
      <w:r>
        <w:rPr>
          <w:rFonts w:hint="eastAsia" w:ascii="宋体" w:hAnsi="宋体" w:cs="宋体"/>
          <w:b/>
          <w:color w:val="auto"/>
          <w:sz w:val="24"/>
          <w:highlight w:val="none"/>
          <w:lang w:val="zh-CN"/>
        </w:rPr>
        <w:t xml:space="preserve">九、告知招标结果</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29.1 对未通过资格审查的投标人，告知其未通过的原因。</w:t>
      </w:r>
      <w:r/>
    </w:p>
    <w:p>
      <w:pPr>
        <w:ind w:firstLine="482"/>
        <w:spacing w:after="181" w:line="360" w:lineRule="auto"/>
        <w:rPr>
          <w:rFonts w:ascii="宋体" w:hAnsi="宋体" w:cs="宋体"/>
          <w:b/>
          <w:color w:val="auto"/>
          <w:sz w:val="24"/>
          <w:highlight w:val="none"/>
          <w:lang w:val="zh-CN"/>
        </w:rPr>
        <w:outlineLvl w:val="2"/>
      </w:pPr>
      <w:r>
        <w:rPr>
          <w:rFonts w:hint="eastAsia" w:ascii="宋体" w:hAnsi="宋体" w:cs="宋体"/>
          <w:b/>
          <w:color w:val="auto"/>
          <w:sz w:val="24"/>
          <w:highlight w:val="none"/>
          <w:lang w:val="zh-CN"/>
        </w:rPr>
        <w:t xml:space="preserve">十、签订合同</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30.1中标供应商应当自发出中标通知书之日起30日内，与采购人签订合同。</w:t>
      </w:r>
      <w:r/>
    </w:p>
    <w:p>
      <w:pPr>
        <w:ind w:firstLine="480"/>
        <w:spacing w:after="181"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30.2招标文件、中标供应商的投标文件及其澄清文件等，均为签订合同的依据。</w:t>
      </w:r>
      <w:r/>
    </w:p>
    <w:p>
      <w:pPr>
        <w:ind w:firstLine="480"/>
        <w:spacing w:after="181" w:line="360" w:lineRule="auto"/>
        <w:rPr>
          <w:rFonts w:ascii="宋体" w:hAnsi="宋体" w:cs="宋体"/>
          <w:color w:val="auto"/>
          <w:sz w:val="24"/>
          <w:highlight w:val="none"/>
          <w:lang w:val="zh-CN"/>
        </w:rPr>
        <w:outlineLvl w:val="3"/>
      </w:pPr>
      <w:r>
        <w:rPr>
          <w:rFonts w:hint="eastAsia" w:ascii="宋体" w:hAnsi="宋体" w:cs="宋体"/>
          <w:color w:val="auto"/>
          <w:sz w:val="24"/>
          <w:highlight w:val="none"/>
          <w:lang w:val="zh-CN"/>
        </w:rPr>
        <w:t xml:space="preserve">30.3中标人无正当理由不得拒绝签订政府采购合同。</w:t>
      </w:r>
      <w:r/>
    </w:p>
    <w:p>
      <w:pPr>
        <w:numPr>
          <w:ilvl w:val="0"/>
          <w:numId w:val="1"/>
        </w:numPr>
        <w:ind w:firstLine="482"/>
        <w:spacing w:after="181" w:line="360" w:lineRule="auto"/>
        <w:rPr>
          <w:rFonts w:ascii="宋体" w:hAnsi="宋体" w:cs="宋体"/>
          <w:b/>
          <w:color w:val="auto"/>
          <w:sz w:val="24"/>
          <w:highlight w:val="none"/>
          <w:lang w:val="zh-CN"/>
        </w:rPr>
        <w:outlineLvl w:val="2"/>
      </w:pPr>
      <w:r>
        <w:rPr>
          <w:rFonts w:hint="eastAsia" w:ascii="宋体" w:hAnsi="宋体" w:cs="宋体"/>
          <w:b/>
          <w:color w:val="auto"/>
          <w:sz w:val="24"/>
          <w:highlight w:val="none"/>
          <w:lang w:val="zh-CN"/>
        </w:rPr>
        <w:t xml:space="preserve">其他事项</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31.1投标费用</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31.1.1 投标人应自行承担所有与参加投标有关的费用，无论投标过程中的做法和结果如何，</w:t>
      </w:r>
      <w:bookmarkStart w:id="88" w:name="EB24164e9e602e4482ad64a89de8202757"/>
      <w:r>
        <w:rPr>
          <w:rFonts w:hint="eastAsia" w:ascii="宋体" w:hAnsi="宋体" w:cs="宋体"/>
          <w:color w:val="auto"/>
          <w:sz w:val="24"/>
          <w:szCs w:val="24"/>
          <w:highlight w:val="none"/>
        </w:rPr>
        <w:t xml:space="preserve">苏州日丰招投标代理有限公司</w:t>
      </w:r>
      <w:bookmarkEnd w:id="88"/>
      <w:r>
        <w:rPr>
          <w:rFonts w:hint="eastAsia" w:ascii="宋体" w:hAnsi="宋体" w:cs="宋体"/>
          <w:color w:val="auto"/>
          <w:sz w:val="24"/>
          <w:szCs w:val="24"/>
          <w:highlight w:val="none"/>
        </w:rPr>
        <w:t xml:space="preserve">在任何情况下均无义务和责任承担这些费用。</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31.2 本次招标采购代理机构收取代理服务费。</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31.2.1 本项目采购代理服务费由中标（成交）供应商支付；</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31.2.2 代理费用收取方式：转账支付；</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31.2.3代理费用收取标准：由中标单位在领取合同前向招标代理机构一次性付清。代理服务费按照预算金额的如下比例进行计算：</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按照苏财购告【2016】31号规定的收费标准收取，以下计算方法确定招标代理服务费收费金额：</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预算金额100万以下费率为预算金额的1.5%；</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预算金额100－500万费率为预算金额的1.1%；</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预算金额500－1000万费率为预算金额的0.8%；</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预算金额1000－5000万费率为预算金额的0.5%；</w:t>
      </w:r>
      <w:r/>
    </w:p>
    <w:p>
      <w:pPr>
        <w:ind w:firstLine="480"/>
        <w:spacing w:after="181" w:line="360"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rPr>
        <w:t xml:space="preserve">代理服务费按上述规定的标准和差额定率累进法进行计算收取,由中标单位在领取合同前向招标代理机构一次性付清。</w:t>
      </w:r>
      <w:r>
        <w:rPr>
          <w:rFonts w:hint="eastAsia" w:ascii="宋体" w:hAnsi="宋体" w:cs="宋体"/>
          <w:color w:val="auto"/>
          <w:sz w:val="24"/>
          <w:szCs w:val="24"/>
          <w:highlight w:val="none"/>
          <w:lang w:val="en-US" w:eastAsia="zh-CN"/>
        </w:rPr>
        <w:t xml:space="preserve">本项目优惠后代理服务费为：21000.00元。</w:t>
      </w:r>
      <w:r>
        <w:rPr>
          <w:rFonts w:hint="eastAsia" w:ascii="宋体" w:hAnsi="宋体" w:cs="宋体"/>
          <w:color w:val="auto"/>
          <w:sz w:val="24"/>
          <w:szCs w:val="24"/>
          <w:highlight w:val="none"/>
          <w:lang w:val="zh-CN" w:eastAsia="zh-CN"/>
        </w:rPr>
        <w:t xml:space="preserve">请各供应商在投标报价时综合考虑。</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中标服务费收款账号：</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账户名：苏州日丰招投标代理有限公司</w:t>
      </w:r>
      <w:r/>
    </w:p>
    <w:p>
      <w:pPr>
        <w:ind w:firstLine="480"/>
        <w:spacing w:after="181" w:line="360"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账号：32201988636051560473 </w:t>
      </w:r>
      <w:r/>
    </w:p>
    <w:p>
      <w:pPr>
        <w:ind w:firstLine="480"/>
        <w:keepLines/>
        <w:keepNext/>
        <w:spacing w:after="181" w:line="360"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开户行：建设银行苏州高新技术产业开发区支行</w:t>
      </w:r>
      <w:r/>
    </w:p>
    <w:p>
      <w:pPr>
        <w:ind w:firstLine="480"/>
        <w:keepLines/>
        <w:keepNext/>
        <w:spacing w:after="181" w:line="360" w:lineRule="auto"/>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缴纳服务费时中标人需提供开票信息：单位公司名称、地址、电话、税号、开户银行、账号。</w:t>
      </w:r>
      <w:r/>
    </w:p>
    <w:p>
      <w:pPr>
        <w:ind w:firstLine="482"/>
        <w:spacing w:after="181" w:line="360" w:lineRule="auto"/>
        <w:rPr>
          <w:rFonts w:ascii="宋体" w:hAnsi="宋体" w:cs="宋体"/>
          <w:b/>
          <w:bCs/>
          <w:color w:val="auto"/>
          <w:sz w:val="24"/>
          <w:highlight w:val="none"/>
          <w:lang w:val="zh-CN"/>
        </w:rPr>
        <w:outlineLvl w:val="1"/>
      </w:pPr>
      <w:r/>
      <w:bookmarkStart w:id="89" w:name="EB0f9f45dd5e234a13a81c333deb906690"/>
      <w:r/>
      <w:bookmarkEnd w:id="89"/>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履约保证金</w:t>
      </w:r>
      <w:r/>
    </w:p>
    <w:p>
      <w:pPr>
        <w:ind w:firstLine="482"/>
        <w:spacing w:after="181" w:line="360" w:lineRule="auto"/>
        <w:rPr>
          <w:rFonts w:ascii="宋体" w:hAnsi="宋体" w:cs="宋体"/>
          <w:color w:val="auto"/>
          <w:sz w:val="24"/>
          <w:highlight w:val="none"/>
          <w:lang w:val="zh-CN"/>
        </w:rPr>
      </w:pPr>
      <w:r>
        <w:rPr>
          <w:rFonts w:hint="eastAsia" w:ascii="宋体" w:hAnsi="宋体" w:cs="宋体"/>
          <w:b/>
          <w:bCs/>
          <w:color w:val="auto"/>
          <w:sz w:val="24"/>
          <w:highlight w:val="none"/>
        </w:rPr>
        <w:t xml:space="preserve">32.1</w:t>
      </w:r>
      <w:r>
        <w:rPr>
          <w:rFonts w:hint="eastAsia" w:ascii="宋体" w:hAnsi="宋体" w:cs="宋体"/>
          <w:b/>
          <w:bCs/>
          <w:color w:val="auto"/>
          <w:sz w:val="24"/>
          <w:highlight w:val="none"/>
          <w:lang w:val="zh-CN"/>
        </w:rPr>
        <w:t xml:space="preserve">合同签订前，中标单位向采购单位交付</w:t>
      </w:r>
      <w:bookmarkStart w:id="90" w:name="OLE_LINK10"/>
      <w:r>
        <w:rPr>
          <w:rFonts w:hint="eastAsia" w:ascii="宋体" w:hAnsi="宋体" w:cs="宋体"/>
          <w:b/>
          <w:bCs/>
          <w:color w:val="auto"/>
          <w:sz w:val="24"/>
          <w:highlight w:val="none"/>
          <w:lang w:val="zh-CN"/>
        </w:rPr>
        <w:t xml:space="preserve">合同</w:t>
      </w:r>
      <w:r>
        <w:rPr>
          <w:rFonts w:hint="eastAsia" w:ascii="宋体" w:hAnsi="宋体" w:cs="宋体"/>
          <w:b/>
          <w:bCs/>
          <w:color w:val="auto"/>
          <w:sz w:val="24"/>
          <w:highlight w:val="none"/>
        </w:rPr>
        <w:t xml:space="preserve">总价款</w:t>
      </w:r>
      <w:bookmarkEnd w:id="90"/>
      <w:r>
        <w:rPr>
          <w:rFonts w:hint="eastAsia" w:ascii="宋体" w:hAnsi="宋体" w:cs="宋体"/>
          <w:b/>
          <w:bCs/>
          <w:color w:val="auto"/>
          <w:sz w:val="24"/>
          <w:highlight w:val="none"/>
        </w:rPr>
        <w:t xml:space="preserve">0元</w:t>
      </w:r>
      <w:r>
        <w:rPr>
          <w:rFonts w:hint="eastAsia" w:ascii="宋体" w:hAnsi="宋体" w:cs="宋体"/>
          <w:b/>
          <w:bCs/>
          <w:color w:val="auto"/>
          <w:sz w:val="24"/>
          <w:highlight w:val="none"/>
          <w:lang w:val="zh-CN"/>
        </w:rPr>
        <w:t xml:space="preserve">的履约保证金</w:t>
      </w:r>
      <w:r>
        <w:rPr>
          <w:rFonts w:hint="eastAsia" w:ascii="宋体" w:hAnsi="宋体" w:cs="宋体"/>
          <w:color w:val="auto"/>
          <w:sz w:val="24"/>
          <w:highlight w:val="none"/>
          <w:lang w:val="zh-CN"/>
        </w:rPr>
        <w:t xml:space="preserve">。</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、监督和公证</w:t>
      </w:r>
      <w:r/>
    </w:p>
    <w:p>
      <w:pPr>
        <w:ind w:firstLine="480"/>
        <w:spacing w:after="181" w:line="360" w:lineRule="auto"/>
        <w:rPr>
          <w:rFonts w:ascii="宋体" w:hAnsi="宋体" w:cs="宋体"/>
          <w:color w:val="auto"/>
          <w:sz w:val="24"/>
          <w:highlight w:val="none"/>
          <w:lang w:val="zh-CN"/>
        </w:rPr>
        <w:outlineLvl w:val="2"/>
      </w:pPr>
      <w:r>
        <w:rPr>
          <w:rFonts w:hint="eastAsia" w:ascii="宋体" w:hAnsi="宋体" w:cs="宋体"/>
          <w:color w:val="auto"/>
          <w:sz w:val="24"/>
          <w:highlight w:val="none"/>
          <w:lang w:val="zh-CN"/>
        </w:rPr>
        <w:t xml:space="preserve">3</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.1政府有关监督部门将对招投标全过程进行监督。</w:t>
      </w:r>
      <w:r/>
    </w:p>
    <w:p>
      <w:pPr>
        <w:ind w:firstLine="482"/>
        <w:spacing w:after="181" w:line="360" w:lineRule="auto"/>
        <w:rPr>
          <w:rFonts w:ascii="宋体" w:hAnsi="宋体" w:cs="宋体"/>
          <w:b/>
          <w:bCs/>
          <w:color w:val="auto"/>
          <w:sz w:val="24"/>
          <w:highlight w:val="none"/>
          <w:lang w:val="zh-CN"/>
        </w:rPr>
        <w:outlineLvl w:val="1"/>
      </w:pPr>
      <w:r>
        <w:rPr>
          <w:rFonts w:hint="eastAsia" w:ascii="宋体" w:hAnsi="宋体" w:cs="宋体"/>
          <w:b/>
          <w:bCs/>
          <w:color w:val="auto"/>
          <w:sz w:val="24"/>
          <w:highlight w:val="none"/>
          <w:lang w:val="zh-CN"/>
        </w:rPr>
        <w:t xml:space="preserve">3</w:t>
      </w: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val="zh-CN"/>
        </w:rPr>
        <w:t xml:space="preserve">、未尽事宜</w:t>
      </w:r>
      <w:r/>
    </w:p>
    <w:p>
      <w:pPr>
        <w:ind w:firstLine="480"/>
        <w:spacing w:after="181" w:line="360" w:lineRule="auto"/>
        <w:rPr>
          <w:rFonts w:ascii="宋体" w:hAnsi="宋体" w:cs="宋体"/>
          <w:color w:val="auto"/>
          <w:sz w:val="24"/>
          <w:szCs w:val="24"/>
          <w:highlight w:val="none"/>
        </w:rPr>
      </w:pPr>
      <w:r>
        <w:rPr>
          <w:rFonts w:hint="eastAsia" w:ascii="宋体" w:hAnsi="宋体" w:cs="宋体"/>
          <w:color w:val="auto"/>
          <w:sz w:val="24"/>
          <w:highlight w:val="none"/>
          <w:lang w:val="zh-CN"/>
        </w:rPr>
        <w:t xml:space="preserve">按《中华人民共和国政府采购法》及其他有关政府采购的法律法规的规定执行</w:t>
      </w:r>
      <w:r>
        <w:rPr>
          <w:rFonts w:hint="eastAsia" w:ascii="宋体" w:hAnsi="宋体" w:cs="宋体"/>
          <w:bCs/>
          <w:color w:val="auto"/>
          <w:sz w:val="24"/>
          <w:highlight w:val="none"/>
        </w:rPr>
        <w:t xml:space="preserve">。</w:t>
      </w:r>
      <w:r/>
    </w:p>
    <w:p>
      <w:pPr>
        <w:pStyle w:val="930"/>
        <w:pageBreakBefore/>
        <w:spacing w:line="360" w:lineRule="auto"/>
        <w:rPr>
          <w:rFonts w:ascii="宋体" w:hAnsi="宋体" w:eastAsia="宋体"/>
          <w:color w:val="auto"/>
          <w:sz w:val="36"/>
          <w:szCs w:val="36"/>
          <w:highlight w:val="none"/>
        </w:rPr>
      </w:pPr>
      <w:r/>
      <w:bookmarkStart w:id="91" w:name="_Toc29160"/>
      <w:r/>
      <w:bookmarkStart w:id="92" w:name="_Toc25391"/>
      <w:r/>
      <w:bookmarkStart w:id="93" w:name="_Toc11251"/>
      <w:r/>
      <w:bookmarkStart w:id="94" w:name="_Toc35266027"/>
      <w:r/>
      <w:bookmarkStart w:id="95" w:name="_Toc1780"/>
      <w:r/>
      <w:bookmarkStart w:id="96" w:name="_Toc32276"/>
      <w:r/>
      <w:bookmarkStart w:id="97" w:name="_Toc20696"/>
      <w:r/>
      <w:bookmarkStart w:id="98" w:name="_Toc661"/>
      <w:r/>
      <w:bookmarkStart w:id="99" w:name="_Toc21908"/>
      <w:r/>
      <w:bookmarkStart w:id="100" w:name="_Toc21428"/>
      <w:r/>
      <w:bookmarkStart w:id="101" w:name="_Toc14949"/>
      <w:r/>
      <w:bookmarkStart w:id="102" w:name="_Toc22267"/>
      <w:r/>
      <w:bookmarkStart w:id="103" w:name="_Toc54615245"/>
      <w:r/>
      <w:bookmarkStart w:id="104" w:name="_Toc38368127"/>
      <w:r/>
      <w:bookmarkStart w:id="105" w:name="_Toc28875"/>
      <w:r/>
      <w:bookmarkStart w:id="106" w:name="_Toc27080"/>
      <w:r>
        <w:rPr>
          <w:rFonts w:hint="eastAsia" w:ascii="宋体" w:hAnsi="宋体" w:eastAsia="宋体"/>
          <w:color w:val="auto"/>
          <w:sz w:val="36"/>
          <w:szCs w:val="36"/>
          <w:highlight w:val="none"/>
        </w:rPr>
        <w:t xml:space="preserve">第三章 合同条款及</w:t>
      </w:r>
      <w:bookmarkEnd w:id="50"/>
      <w:r/>
      <w:bookmarkEnd w:id="51"/>
      <w:r/>
      <w:bookmarkEnd w:id="52"/>
      <w:r/>
      <w:bookmarkEnd w:id="53"/>
      <w:r/>
      <w:bookmarkEnd w:id="54"/>
      <w:r>
        <w:rPr>
          <w:rFonts w:hint="eastAsia" w:ascii="宋体" w:hAnsi="宋体" w:eastAsia="宋体"/>
          <w:color w:val="auto"/>
          <w:sz w:val="36"/>
          <w:szCs w:val="36"/>
          <w:highlight w:val="none"/>
        </w:rPr>
        <w:t xml:space="preserve">格式</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80"/>
        <w:spacing w:after="181" w:line="360" w:lineRule="auto"/>
        <w:rPr>
          <w:rFonts w:ascii="宋体" w:hAnsi="宋体" w:cs="宋体"/>
          <w:color w:val="auto"/>
          <w:sz w:val="24"/>
          <w:szCs w:val="24"/>
          <w:highlight w:val="none"/>
        </w:rPr>
      </w:pPr>
      <w:r/>
      <w:bookmarkStart w:id="107" w:name="EB445c3bd035294764b52dfc379b7b9568"/>
      <w:r/>
      <w:r/>
    </w:p>
    <w:p>
      <w:pPr>
        <w:pStyle w:val="948"/>
        <w:ind w:firstLine="480"/>
        <w:spacing w:after="181" w:line="360" w:lineRule="auto"/>
        <w:rPr>
          <w:rStyle w:val="920"/>
          <w:rFonts w:ascii="宋体" w:hAnsi="宋体" w:eastAsia="宋体" w:cs="宋体"/>
          <w:bCs/>
          <w:color w:val="auto"/>
          <w:highlight w:val="none"/>
        </w:rPr>
      </w:pPr>
      <w:r>
        <w:rPr>
          <w:rStyle w:val="920"/>
          <w:rFonts w:hint="eastAsia" w:ascii="宋体" w:hAnsi="宋体" w:eastAsia="宋体" w:cs="宋体"/>
          <w:bCs/>
          <w:color w:val="auto"/>
          <w:highlight w:val="none"/>
        </w:rPr>
        <w:t xml:space="preserve">以下为中标(成交)后签定本项目合同的通用条款，中标(成交)供应商不得提出实质性的修改。</w:t>
      </w:r>
      <w:r/>
    </w:p>
    <w:p>
      <w:pPr>
        <w:pStyle w:val="948"/>
        <w:ind w:firstLine="562"/>
        <w:jc w:val="center"/>
        <w:spacing w:after="181" w:line="360" w:lineRule="auto"/>
        <w:rPr>
          <w:rStyle w:val="920"/>
          <w:rFonts w:ascii="宋体" w:hAnsi="宋体" w:eastAsia="宋体" w:cs="宋体"/>
          <w:b/>
          <w:bCs/>
          <w:color w:val="auto"/>
          <w:highlight w:val="none"/>
        </w:rPr>
        <w:outlineLvl w:val="1"/>
      </w:pPr>
      <w:r>
        <w:rPr>
          <w:rStyle w:val="920"/>
          <w:rFonts w:hint="eastAsia" w:ascii="宋体" w:hAnsi="宋体" w:eastAsia="宋体" w:cs="宋体"/>
          <w:b/>
          <w:bCs/>
          <w:color w:val="auto"/>
          <w:sz w:val="28"/>
          <w:szCs w:val="28"/>
          <w:highlight w:val="none"/>
        </w:rPr>
        <w:t xml:space="preserve">张家港市政府采购合同</w:t>
      </w:r>
      <w:r/>
    </w:p>
    <w:p>
      <w:pPr>
        <w:pStyle w:val="948"/>
        <w:ind w:firstLine="480"/>
        <w:spacing w:after="181" w:line="360" w:lineRule="auto"/>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项目名称：</w:t>
      </w:r>
      <w:bookmarkStart w:id="108" w:name="biaoduanname_1"/>
      <w:r>
        <w:rPr>
          <w:rStyle w:val="920"/>
          <w:rFonts w:hint="eastAsia" w:ascii="宋体" w:hAnsi="宋体" w:eastAsia="宋体" w:cs="宋体"/>
          <w:color w:val="auto"/>
          <w:highlight w:val="none"/>
        </w:rPr>
        <w:t xml:space="preserve">             </w:t>
      </w:r>
      <w:bookmarkEnd w:id="108"/>
      <w:r>
        <w:rPr>
          <w:rStyle w:val="920"/>
          <w:rFonts w:hint="eastAsia" w:ascii="宋体" w:hAnsi="宋体" w:eastAsia="宋体" w:cs="宋体"/>
          <w:color w:val="auto"/>
          <w:highlight w:val="none"/>
        </w:rPr>
        <w:t xml:space="preserve">               </w:t>
      </w:r>
      <w:r/>
    </w:p>
    <w:p>
      <w:pPr>
        <w:pStyle w:val="948"/>
        <w:ind w:firstLine="480"/>
        <w:spacing w:after="181" w:line="360" w:lineRule="auto"/>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项目编号：</w:t>
      </w:r>
      <w:bookmarkStart w:id="109" w:name="projectno"/>
      <w:r>
        <w:rPr>
          <w:rStyle w:val="920"/>
          <w:rFonts w:hint="eastAsia" w:ascii="宋体" w:hAnsi="宋体" w:eastAsia="宋体" w:cs="宋体"/>
          <w:color w:val="auto"/>
          <w:highlight w:val="none"/>
        </w:rPr>
        <w:t xml:space="preserve">           </w:t>
      </w:r>
      <w:bookmarkEnd w:id="109"/>
      <w:r/>
      <w:r/>
    </w:p>
    <w:p>
      <w:pPr>
        <w:pStyle w:val="948"/>
        <w:ind w:firstLine="480"/>
        <w:spacing w:after="181" w:line="360" w:lineRule="auto"/>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甲方：（买方）</w:t>
      </w:r>
      <w:r>
        <w:rPr>
          <w:rStyle w:val="920"/>
          <w:rFonts w:hint="eastAsia" w:ascii="宋体" w:hAnsi="宋体" w:eastAsia="宋体" w:cs="宋体"/>
          <w:color w:val="auto"/>
          <w:highlight w:val="none"/>
          <w:u w:val="single"/>
        </w:rPr>
        <w:t xml:space="preserve"> </w:t>
      </w:r>
      <w:bookmarkStart w:id="110" w:name="jianshedanwei_1"/>
      <w:r>
        <w:rPr>
          <w:rStyle w:val="920"/>
          <w:rFonts w:hint="eastAsia" w:ascii="宋体" w:hAnsi="宋体" w:eastAsia="宋体" w:cs="宋体"/>
          <w:color w:val="auto"/>
          <w:highlight w:val="none"/>
          <w:u w:val="single"/>
        </w:rPr>
        <w:t xml:space="preserve">        </w:t>
      </w:r>
      <w:bookmarkEnd w:id="110"/>
      <w:r>
        <w:rPr>
          <w:rStyle w:val="920"/>
          <w:rFonts w:hint="eastAsia" w:ascii="宋体" w:hAnsi="宋体" w:eastAsia="宋体" w:cs="宋体"/>
          <w:color w:val="auto"/>
          <w:highlight w:val="none"/>
          <w:u w:val="single"/>
        </w:rPr>
        <w:t xml:space="preserve"> </w:t>
      </w:r>
      <w:r/>
    </w:p>
    <w:p>
      <w:pPr>
        <w:pStyle w:val="948"/>
        <w:ind w:firstLine="480"/>
        <w:spacing w:after="181" w:line="360" w:lineRule="auto"/>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乙方：（卖方）</w:t>
      </w:r>
      <w:r>
        <w:rPr>
          <w:rStyle w:val="920"/>
          <w:rFonts w:hint="eastAsia" w:ascii="宋体" w:hAnsi="宋体" w:eastAsia="宋体" w:cs="宋体"/>
          <w:color w:val="auto"/>
          <w:highlight w:val="none"/>
          <w:u w:val="single"/>
        </w:rPr>
        <w:t xml:space="preserve"> </w:t>
      </w:r>
      <w:bookmarkStart w:id="111" w:name="zhongbiaodanweiname_1"/>
      <w:r>
        <w:rPr>
          <w:rStyle w:val="920"/>
          <w:rFonts w:hint="eastAsia" w:ascii="宋体" w:hAnsi="宋体" w:eastAsia="宋体" w:cs="宋体"/>
          <w:color w:val="auto"/>
          <w:highlight w:val="none"/>
          <w:u w:val="single"/>
        </w:rPr>
        <w:t xml:space="preserve">          </w:t>
      </w:r>
      <w:bookmarkEnd w:id="111"/>
      <w:r>
        <w:rPr>
          <w:rStyle w:val="920"/>
          <w:rFonts w:hint="eastAsia" w:ascii="宋体" w:hAnsi="宋体" w:eastAsia="宋体" w:cs="宋体"/>
          <w:color w:val="auto"/>
          <w:highlight w:val="none"/>
          <w:u w:val="single"/>
        </w:rPr>
        <w:t xml:space="preserve"> </w:t>
      </w:r>
      <w:r/>
    </w:p>
    <w:p>
      <w:pPr>
        <w:pStyle w:val="948"/>
        <w:ind w:firstLine="480"/>
        <w:spacing w:after="181" w:line="360" w:lineRule="auto"/>
        <w:rPr>
          <w:rStyle w:val="920"/>
          <w:rFonts w:ascii="宋体" w:hAnsi="宋体" w:eastAsia="宋体" w:cs="宋体"/>
          <w:b/>
          <w:bCs/>
          <w:color w:val="auto"/>
          <w:highlight w:val="none"/>
        </w:rPr>
      </w:pPr>
      <w:r>
        <w:rPr>
          <w:rStyle w:val="920"/>
          <w:rFonts w:hint="eastAsia" w:ascii="宋体" w:hAnsi="宋体" w:eastAsia="宋体" w:cs="宋体"/>
          <w:color w:val="auto"/>
          <w:highlight w:val="none"/>
        </w:rPr>
        <w:t xml:space="preserve">甲、乙双方根据苏州日丰招投标代理有限公司</w:t>
      </w:r>
      <w:r>
        <w:rPr>
          <w:rStyle w:val="920"/>
          <w:rFonts w:hint="eastAsia" w:ascii="宋体" w:hAnsi="宋体" w:eastAsia="宋体" w:cs="宋体"/>
          <w:color w:val="auto"/>
          <w:highlight w:val="none"/>
          <w:u w:val="single"/>
        </w:rPr>
        <w:t xml:space="preserve"> </w:t>
      </w:r>
      <w:bookmarkStart w:id="112" w:name="biaoduanname_2"/>
      <w:r>
        <w:rPr>
          <w:rStyle w:val="920"/>
          <w:rFonts w:hint="eastAsia" w:ascii="宋体" w:hAnsi="宋体" w:eastAsia="宋体" w:cs="宋体"/>
          <w:color w:val="auto"/>
          <w:highlight w:val="none"/>
          <w:u w:val="single"/>
        </w:rPr>
        <w:t xml:space="preserve">    </w:t>
      </w:r>
      <w:bookmarkEnd w:id="112"/>
      <w:r>
        <w:rPr>
          <w:rStyle w:val="920"/>
          <w:rFonts w:hint="eastAsia" w:ascii="宋体" w:hAnsi="宋体" w:eastAsia="宋体" w:cs="宋体"/>
          <w:color w:val="auto"/>
          <w:highlight w:val="none"/>
          <w:u w:val="single"/>
        </w:rPr>
        <w:t xml:space="preserve"> </w:t>
      </w:r>
      <w:r>
        <w:rPr>
          <w:rStyle w:val="920"/>
          <w:rFonts w:hint="eastAsia" w:ascii="宋体" w:hAnsi="宋体" w:eastAsia="宋体" w:cs="宋体"/>
          <w:color w:val="auto"/>
          <w:highlight w:val="none"/>
        </w:rPr>
        <w:t xml:space="preserve">项目公开招标的结果，签署本合同。</w:t>
      </w:r>
      <w:r/>
    </w:p>
    <w:p>
      <w:pPr>
        <w:pStyle w:val="948"/>
        <w:ind w:firstLine="482"/>
        <w:spacing w:after="181" w:line="360" w:lineRule="auto"/>
        <w:rPr>
          <w:rStyle w:val="920"/>
          <w:rFonts w:ascii="宋体" w:hAnsi="宋体" w:eastAsia="宋体" w:cs="宋体"/>
          <w:b/>
          <w:bCs/>
          <w:color w:val="auto"/>
          <w:highlight w:val="none"/>
        </w:rPr>
      </w:pPr>
      <w:r>
        <w:rPr>
          <w:rStyle w:val="920"/>
          <w:rFonts w:hint="eastAsia" w:ascii="宋体" w:hAnsi="宋体" w:eastAsia="宋体" w:cs="宋体"/>
          <w:b/>
          <w:bCs/>
          <w:color w:val="auto"/>
          <w:highlight w:val="none"/>
        </w:rPr>
        <w:t xml:space="preserve">一、服务内容</w:t>
      </w:r>
      <w:r/>
    </w:p>
    <w:tbl>
      <w:tblPr>
        <w:tblStyle w:val="72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5"/>
        <w:gridCol w:w="3424"/>
        <w:gridCol w:w="3113"/>
      </w:tblGrid>
      <w:tr>
        <w:trPr>
          <w:cantSplit/>
          <w:trHeight w:val="521"/>
        </w:trPr>
        <w:tc>
          <w:tcPr>
            <w:tcW w:w="3425"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项目名称</w:t>
            </w:r>
            <w:r/>
          </w:p>
        </w:tc>
        <w:tc>
          <w:tcPr>
            <w:tcW w:w="3424"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总价（元）</w:t>
            </w:r>
            <w:r/>
          </w:p>
        </w:tc>
        <w:tc>
          <w:tcPr>
            <w:tcW w:w="3113" w:type="dxa"/>
            <w:vAlign w:val="center"/>
            <w:textDirection w:val="lrTb"/>
            <w:noWrap w:val="false"/>
          </w:tcPr>
          <w:p>
            <w:pPr>
              <w:pStyle w:val="948"/>
              <w:ind w:firstLine="480"/>
              <w:jc w:val="both"/>
              <w:spacing w:after="181" w:line="360" w:lineRule="auto"/>
              <w:widowControl w:val="off"/>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服务内容</w:t>
            </w:r>
            <w:r/>
          </w:p>
        </w:tc>
      </w:tr>
      <w:tr>
        <w:trPr>
          <w:cantSplit/>
          <w:trHeight w:val="521"/>
        </w:trPr>
        <w:tc>
          <w:tcPr>
            <w:tcW w:w="3425"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pPr>
            <w:r>
              <w:rPr>
                <w:rFonts w:ascii="宋体" w:hAnsi="宋体" w:eastAsia="宋体" w:cs="宋体"/>
                <w:color w:val="auto"/>
                <w:highlight w:val="none"/>
              </w:rPr>
            </w:r>
            <w:r/>
          </w:p>
        </w:tc>
        <w:tc>
          <w:tcPr>
            <w:tcW w:w="3424" w:type="dxa"/>
            <w:vAlign w:val="center"/>
            <w:textDirection w:val="lrTb"/>
            <w:noWrap w:val="false"/>
          </w:tcPr>
          <w:p>
            <w:pPr>
              <w:pStyle w:val="948"/>
              <w:ind w:firstLine="480"/>
              <w:jc w:val="center"/>
              <w:spacing w:after="181" w:line="360" w:lineRule="auto"/>
              <w:widowControl w:val="off"/>
              <w:rPr>
                <w:rStyle w:val="920"/>
                <w:rFonts w:ascii="宋体" w:hAnsi="宋体" w:eastAsia="宋体" w:cs="宋体"/>
                <w:color w:val="auto"/>
                <w:highlight w:val="none"/>
              </w:rPr>
            </w:pPr>
            <w:r>
              <w:rPr>
                <w:rFonts w:ascii="宋体" w:hAnsi="宋体" w:eastAsia="宋体" w:cs="宋体"/>
                <w:color w:val="auto"/>
                <w:highlight w:val="none"/>
              </w:rPr>
            </w:r>
            <w:bookmarkEnd w:id="107"/>
            <w:r/>
            <w:r/>
          </w:p>
        </w:tc>
        <w:tc>
          <w:tcPr>
            <w:tcW w:w="3113" w:type="dxa"/>
            <w:vAlign w:val="center"/>
            <w:textDirection w:val="lrTb"/>
            <w:noWrap w:val="false"/>
          </w:tcPr>
          <w:p>
            <w:pPr>
              <w:pStyle w:val="948"/>
              <w:ind w:firstLine="480"/>
              <w:jc w:val="both"/>
              <w:spacing w:after="181" w:line="360" w:lineRule="auto"/>
              <w:widowControl w:val="off"/>
              <w:rPr>
                <w:rStyle w:val="920"/>
                <w:rFonts w:ascii="宋体" w:hAnsi="宋体" w:eastAsia="宋体" w:cs="宋体"/>
                <w:color w:val="auto"/>
                <w:highlight w:val="none"/>
              </w:rPr>
            </w:pPr>
            <w:r>
              <w:rPr>
                <w:rFonts w:ascii="宋体" w:hAnsi="宋体" w:eastAsia="宋体" w:cs="宋体"/>
                <w:color w:val="auto"/>
                <w:highlight w:val="none"/>
              </w:rPr>
            </w:r>
            <w:r/>
          </w:p>
        </w:tc>
      </w:tr>
    </w:tbl>
    <w:p>
      <w:pPr>
        <w:ind w:firstLine="482"/>
        <w:spacing w:after="181" w:line="360" w:lineRule="auto"/>
        <w:rPr>
          <w:rFonts w:ascii="宋体" w:hAnsi="宋体" w:cs="宋体"/>
          <w:b/>
          <w:bCs/>
          <w:color w:val="auto"/>
          <w:sz w:val="24"/>
          <w:szCs w:val="24"/>
          <w:highlight w:val="none"/>
        </w:rPr>
      </w:pPr>
      <w:r/>
      <w:bookmarkStart w:id="113" w:name="_Hlt16619350"/>
      <w:r/>
      <w:bookmarkStart w:id="114" w:name="_Toc54615246"/>
      <w:r/>
      <w:bookmarkStart w:id="115" w:name="_Toc12461"/>
      <w:r/>
      <w:bookmarkStart w:id="116" w:name="_Toc20823346"/>
      <w:r/>
      <w:bookmarkStart w:id="117" w:name="_Toc27491"/>
      <w:r/>
      <w:bookmarkStart w:id="118" w:name="_Toc120614244"/>
      <w:r/>
      <w:bookmarkStart w:id="119" w:name="_Toc35266028"/>
      <w:r/>
      <w:bookmarkStart w:id="120" w:name="_Toc9513"/>
      <w:r/>
      <w:bookmarkStart w:id="121" w:name="_Toc31052"/>
      <w:r/>
      <w:bookmarkStart w:id="122" w:name="_Toc17141"/>
      <w:r/>
      <w:bookmarkStart w:id="123" w:name="_Toc16031"/>
      <w:r/>
      <w:bookmarkStart w:id="124" w:name="_Toc27415"/>
      <w:r/>
      <w:bookmarkStart w:id="125" w:name="_Toc18061"/>
      <w:r/>
      <w:bookmarkStart w:id="126" w:name="_Toc16938590"/>
      <w:r/>
      <w:bookmarkStart w:id="127" w:name="_Toc38368128"/>
      <w:r/>
      <w:bookmarkStart w:id="128" w:name="_Toc2698"/>
      <w:r/>
      <w:bookmarkStart w:id="129" w:name="_Toc21468"/>
      <w:r/>
      <w:bookmarkStart w:id="130" w:name="_Toc4998"/>
      <w:r/>
      <w:bookmarkStart w:id="131" w:name="_Toc479757211"/>
      <w:r/>
      <w:bookmarkStart w:id="132" w:name="_Toc462564139"/>
      <w:r>
        <w:rPr>
          <w:rFonts w:hint="eastAsia" w:ascii="宋体" w:hAnsi="宋体" w:cs="宋体"/>
          <w:b/>
          <w:bCs/>
          <w:color w:val="auto"/>
          <w:sz w:val="24"/>
          <w:szCs w:val="24"/>
          <w:highlight w:val="none"/>
        </w:rPr>
        <w:t xml:space="preserve">二、合同金额</w:t>
      </w:r>
      <w:r/>
    </w:p>
    <w:p>
      <w:pPr>
        <w:ind w:firstLine="480"/>
        <w:spacing w:after="181"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2.1 本合同金额为（大写）：</w:t>
      </w:r>
      <w:r>
        <w:rPr>
          <w:rFonts w:hint="eastAsia" w:ascii="宋体" w:hAnsi="宋体" w:cs="宋体"/>
          <w:color w:val="auto"/>
          <w:sz w:val="24"/>
          <w:szCs w:val="24"/>
          <w:highlight w:val="none"/>
          <w:u w:val="single"/>
        </w:rPr>
        <w:t xml:space="preserve"> </w:t>
      </w:r>
      <w:bookmarkStart w:id="133" w:name="zhongbiaopriceup"/>
      <w:r>
        <w:rPr>
          <w:rFonts w:hint="eastAsia" w:ascii="宋体" w:hAnsi="宋体" w:cs="宋体"/>
          <w:color w:val="auto"/>
          <w:sz w:val="24"/>
          <w:szCs w:val="24"/>
          <w:highlight w:val="none"/>
          <w:u w:val="single"/>
        </w:rPr>
        <w:t xml:space="preserve">                   </w:t>
      </w:r>
      <w:bookmarkEnd w:id="133"/>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bookmarkStart w:id="134" w:name="zhongbiaopricelow_2"/>
      <w:r>
        <w:rPr>
          <w:rFonts w:hint="eastAsia" w:ascii="宋体" w:hAnsi="宋体" w:cs="宋体"/>
          <w:color w:val="auto"/>
          <w:sz w:val="24"/>
          <w:szCs w:val="24"/>
          <w:highlight w:val="none"/>
          <w:u w:val="single"/>
        </w:rPr>
        <w:t xml:space="preserve">             </w:t>
      </w:r>
      <w:bookmarkEnd w:id="134"/>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jc w:val="left"/>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spacing w:after="181"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三、技术资料</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3.1乙方应按招标文件规定的时间向甲方提供张家港市2026年度基准地价更新、2026-2028年度标定地价更新和城镇地价动态监测工作技术服务项目的有关成果资料；</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3.3本次调查工作涉及涉密数据，承担单位应严格执行数据保密的相关规定，非经甲方书面同意，不得将因完成调查工作任务而获取的任何成果资料，以任何方式向任何第三人披露、泄露或许可第三人使用。</w:t>
      </w:r>
      <w:r/>
    </w:p>
    <w:p>
      <w:pPr>
        <w:ind w:firstLine="482"/>
        <w:spacing w:after="181"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四、</w:t>
      </w:r>
      <w:r>
        <w:rPr>
          <w:rFonts w:hint="eastAsia" w:ascii="宋体" w:hAnsi="宋体" w:cs="宋体"/>
          <w:b/>
          <w:bCs/>
          <w:color w:val="auto"/>
          <w:sz w:val="24"/>
          <w:szCs w:val="24"/>
          <w:highlight w:val="none"/>
          <w:lang w:val="zh-CN"/>
        </w:rPr>
        <w:t xml:space="preserve">保密要求</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4.1乙方负责对甲方所提供资料及最终成果的保密，乙方及其工作人员需遵守甲方的保密规定，不以任何形式将收集的所有资料、数据等进行泄漏、传播；</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4.2项目服务人员需签署相关保密协议，承担工作中接触相关内容的保密义务；</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4.3项目成果最终所有权属招标单位，在项目完成时乙方必须全部移交；</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4.4乙方须维护项目服务成果，不得转让给第三方重复使用。</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4.5以上保密规定如有违反，甲方有权追究乙方相关法律责任。</w:t>
      </w:r>
      <w:r/>
    </w:p>
    <w:p>
      <w:pPr>
        <w:ind w:firstLine="482"/>
        <w:spacing w:after="181"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五、产权担保</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乙方保证所提供张家港市2026年度基准地价更新、2026-2028年度标定地价更新和城镇地价动态监测工作技术服务项目成果资料等涉及到的知识产权和成果内容是合法取得，并享有完整的知识产权，不会因为甲方的使用而被责令停止使用、追偿或要求赔偿损失，如出现此情况，一切经济和法律责任均由乙方承担。</w:t>
      </w:r>
      <w:r/>
    </w:p>
    <w:p>
      <w:pPr>
        <w:ind w:firstLine="482"/>
        <w:spacing w:after="181"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六、履约保证金</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6.1合同签订前，乙方向采购单位交纳人民币</w:t>
      </w:r>
      <w:bookmarkStart w:id="135" w:name="lvbzj"/>
      <w:r>
        <w:rPr>
          <w:rFonts w:hint="eastAsia" w:ascii="宋体" w:hAnsi="宋体" w:cs="宋体"/>
          <w:color w:val="auto"/>
          <w:sz w:val="24"/>
          <w:szCs w:val="24"/>
          <w:highlight w:val="none"/>
          <w:u w:val="single"/>
        </w:rPr>
        <w:t xml:space="preserve">0</w:t>
      </w:r>
      <w:bookmarkEnd w:id="135"/>
      <w:r>
        <w:rPr>
          <w:rFonts w:hint="eastAsia" w:ascii="宋体" w:hAnsi="宋体" w:cs="宋体"/>
          <w:color w:val="auto"/>
          <w:sz w:val="24"/>
          <w:szCs w:val="24"/>
          <w:highlight w:val="none"/>
        </w:rPr>
        <w:t xml:space="preserve">元作为本合同的履约保证金。履约保证金应当以支票、汇票、本票或者金融机构、担保机构出具的保函等非现金形式提交。</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6.2甲方付清全部合同金额的同时返还履约保证金。逾期退还的，应当支付逾期利息，且逾期利息的利率不得低于合同订立时1年期贷款市场报价利率。</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6.3乙方不履行与甲方订立的合同的，履约保证金不予退还。</w:t>
      </w:r>
      <w:r/>
    </w:p>
    <w:p>
      <w:pPr>
        <w:ind w:firstLine="482"/>
        <w:spacing w:after="181"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七、转包和分包</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7.1本合同范围的服务，应由乙方直接供应，不得转让他人供应；</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7.2如有转包和分包行为，甲方有权给予终止合同。</w:t>
      </w:r>
      <w:r/>
    </w:p>
    <w:p>
      <w:pPr>
        <w:ind w:firstLine="482"/>
        <w:spacing w:after="181"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八、完成时间</w:t>
      </w:r>
      <w:r/>
    </w:p>
    <w:p>
      <w:pPr>
        <w:ind w:firstLine="482"/>
        <w:spacing w:after="181"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8.1完成时间：</w:t>
      </w:r>
      <w:r>
        <w:rPr>
          <w:rFonts w:hint="eastAsia" w:ascii="宋体" w:hAnsi="宋体" w:cs="宋体"/>
          <w:color w:val="auto"/>
          <w:sz w:val="24"/>
          <w:szCs w:val="24"/>
          <w:highlight w:val="none"/>
          <w:u w:val="single"/>
        </w:rPr>
        <w:t xml:space="preserve"> </w:t>
      </w:r>
      <w:bookmarkStart w:id="136" w:name="wanchengdate"/>
      <w:r>
        <w:rPr>
          <w:rFonts w:hint="eastAsia" w:ascii="宋体" w:hAnsi="宋体" w:cs="宋体"/>
          <w:color w:val="auto"/>
          <w:sz w:val="24"/>
          <w:szCs w:val="24"/>
          <w:highlight w:val="none"/>
          <w:u w:val="single"/>
        </w:rPr>
        <w:t xml:space="preserve">              </w:t>
      </w:r>
      <w:bookmarkEnd w:id="136"/>
      <w:r>
        <w:rPr>
          <w:rFonts w:hint="eastAsia" w:ascii="宋体" w:hAnsi="宋体" w:cs="宋体"/>
          <w:color w:val="auto"/>
          <w:sz w:val="24"/>
          <w:szCs w:val="24"/>
          <w:highlight w:val="none"/>
          <w:u w:val="single"/>
        </w:rPr>
        <w:t xml:space="preserve"> </w:t>
      </w:r>
      <w:r/>
    </w:p>
    <w:p>
      <w:pPr>
        <w:ind w:firstLine="482"/>
        <w:spacing w:after="181"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九、货款支付</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9.1结付程序：</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9.2结付期限：</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9.3乙方收款账户：</w:t>
      </w:r>
      <w:r/>
    </w:p>
    <w:p>
      <w:pPr>
        <w:ind w:firstLine="482"/>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9.4甲方合同款支付方式：</w:t>
      </w:r>
      <w:r>
        <w:rPr>
          <w:rFonts w:hint="eastAsia" w:ascii="宋体" w:hAnsi="宋体" w:cs="宋体"/>
          <w:color w:val="auto"/>
          <w:sz w:val="24"/>
          <w:szCs w:val="24"/>
          <w:highlight w:val="none"/>
          <w:u w:val="single"/>
        </w:rPr>
        <w:t xml:space="preserve"> </w:t>
      </w:r>
      <w:bookmarkStart w:id="137" w:name="hetongzhifutype"/>
      <w:r>
        <w:rPr>
          <w:rFonts w:hint="eastAsia" w:ascii="宋体" w:hAnsi="宋体" w:cs="宋体"/>
          <w:color w:val="auto"/>
          <w:sz w:val="24"/>
          <w:szCs w:val="24"/>
          <w:highlight w:val="none"/>
          <w:u w:val="single"/>
        </w:rPr>
        <w:t xml:space="preserve">                    </w:t>
      </w:r>
      <w:bookmarkEnd w:id="137"/>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（若乙方为中小企业，不得强制其接受非现金支付方式）。</w:t>
      </w:r>
      <w:r/>
    </w:p>
    <w:p>
      <w:pPr>
        <w:pStyle w:val="947"/>
        <w:ind w:firstLine="482"/>
        <w:spacing w:after="200"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十、税</w:t>
      </w:r>
      <w:r/>
    </w:p>
    <w:p>
      <w:pPr>
        <w:pStyle w:val="947"/>
        <w:ind w:firstLine="48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10.1本合同执行中相关的一切税费均由乙方负担。</w:t>
      </w:r>
      <w:r/>
    </w:p>
    <w:p>
      <w:pPr>
        <w:pStyle w:val="947"/>
        <w:ind w:firstLine="482"/>
        <w:spacing w:after="200" w:line="44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十一、质量保证及售后服务</w:t>
      </w:r>
      <w:r/>
    </w:p>
    <w:p>
      <w:pPr>
        <w:pStyle w:val="947"/>
        <w:ind w:firstLine="480"/>
        <w:spacing w:after="200" w:line="44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11.1乙方需严格按甲方规定的时间完成项目的全部工作内容，如在实施的过程中出现错误，误差，需负责及时更正直至甲方确认合格，乙方在项目进行过程中产生的任何安全、损坏等责任事故一律由乙方自行承担。</w:t>
      </w:r>
      <w:r/>
    </w:p>
    <w:p>
      <w:pPr>
        <w:pStyle w:val="947"/>
        <w:ind w:firstLine="480"/>
        <w:spacing w:after="200" w:line="44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11.2乙方需提供必要的技术支持，协助甲方完成其他需要乙方配合的服务。</w:t>
      </w:r>
      <w:r/>
    </w:p>
    <w:p>
      <w:pPr>
        <w:pStyle w:val="947"/>
        <w:ind w:firstLine="480"/>
        <w:spacing w:after="200" w:line="44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11.3乙方应严格遵守服务合约，项目完成以后，如甲方有需要乙方配合的服务，乙方必需予以配合，协助甲方完善项目内容。</w:t>
      </w:r>
      <w:r/>
    </w:p>
    <w:p>
      <w:pPr>
        <w:pStyle w:val="947"/>
        <w:ind w:firstLine="480"/>
        <w:spacing w:after="200" w:line="44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11.4此项目要求提供多样化技术支持服务，处理出现的各种问题，以保证工作的正常运行。服务响应时间为2小时、一般售后问题时间控制在4小时内、重大售后问题时间控制住8小时内。在客户工作需要技术支持情况下，如需现场解决，到达现场时间不超过2小时，特殊情况下不超过3小时。</w:t>
      </w:r>
      <w:r/>
    </w:p>
    <w:p>
      <w:pPr>
        <w:pStyle w:val="947"/>
        <w:ind w:firstLine="482"/>
        <w:spacing w:after="200" w:line="440" w:lineRule="atLeas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十二、验收</w:t>
      </w:r>
      <w:r/>
    </w:p>
    <w:p>
      <w:pPr>
        <w:ind w:firstLine="482"/>
        <w:spacing w:after="181" w:line="360" w:lineRule="auto"/>
        <w:rPr>
          <w:rFonts w:ascii="宋体" w:hAnsi="宋体" w:cs="宋体"/>
          <w:color w:val="auto"/>
          <w:sz w:val="24"/>
          <w:highlight w:val="none"/>
        </w:rPr>
      </w:pPr>
      <w:r>
        <w:rPr>
          <w:rFonts w:hint="eastAsia" w:ascii="宋体" w:hAnsi="宋体" w:cs="宋体"/>
          <w:color w:val="auto"/>
          <w:sz w:val="24"/>
          <w:highlight w:val="none"/>
        </w:rPr>
        <w:t xml:space="preserve">12.1本项目所有成果需通过专家验收。</w:t>
      </w:r>
      <w:r/>
    </w:p>
    <w:p>
      <w:pPr>
        <w:ind w:firstLine="482"/>
        <w:spacing w:after="181" w:line="360" w:lineRule="auto"/>
        <w:rPr>
          <w:rFonts w:ascii="宋体" w:hAnsi="宋体" w:cs="宋体"/>
          <w:color w:val="auto"/>
          <w:sz w:val="24"/>
          <w:highlight w:val="none"/>
        </w:rPr>
      </w:pPr>
      <w:r>
        <w:rPr>
          <w:rFonts w:hint="eastAsia" w:ascii="宋体" w:hAnsi="宋体" w:cs="宋体"/>
          <w:color w:val="auto"/>
          <w:sz w:val="24"/>
          <w:highlight w:val="none"/>
        </w:rPr>
        <w:t xml:space="preserve">12.2验收标准：按自然资源部和江苏省自然资源厅、苏州市自然资源和规划局，以及相关规程和规范要求提交成果，通过验收。</w:t>
      </w:r>
      <w:r/>
    </w:p>
    <w:p>
      <w:pPr>
        <w:ind w:firstLine="482"/>
        <w:spacing w:after="181" w:line="360" w:lineRule="auto"/>
        <w:rPr>
          <w:rFonts w:ascii="宋体" w:hAnsi="宋体" w:cs="宋体"/>
          <w:b/>
          <w:bCs/>
          <w:color w:val="auto"/>
          <w:sz w:val="24"/>
          <w:szCs w:val="24"/>
          <w:highlight w:val="none"/>
        </w:rPr>
      </w:pPr>
      <w:r>
        <w:rPr>
          <w:rFonts w:hint="eastAsia" w:ascii="宋体" w:hAnsi="宋体" w:cs="宋体"/>
          <w:color w:val="auto"/>
          <w:sz w:val="24"/>
          <w:highlight w:val="none"/>
        </w:rPr>
        <w:t xml:space="preserve">12.3</w:t>
      </w:r>
      <w:r>
        <w:rPr>
          <w:rFonts w:hint="eastAsia" w:ascii="宋体" w:hAnsi="宋体" w:cs="宋体"/>
          <w:color w:val="auto"/>
          <w:sz w:val="24"/>
          <w:highlight w:val="none"/>
          <w:shd w:val="clear" w:color="auto" w:fill="ffffff"/>
        </w:rPr>
        <w:t xml:space="preserve">验收时乙方必须在现场，并全面履行配合义务。</w:t>
      </w:r>
      <w:r/>
    </w:p>
    <w:p>
      <w:pPr>
        <w:pStyle w:val="947"/>
        <w:ind w:firstLine="482"/>
        <w:spacing w:after="200" w:line="440" w:lineRule="atLeas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十三、双方权利义务</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13.1甲方权利义务</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（1）甲方可指派代表作为项目负责人，与乙方进行及时的联络并监督、协调服务的执行情况。</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（2）按时支付费用。</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（3）法规、政策规定由甲方承担的其他责任。</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13.2乙方权利义务</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（1）乙方应及时履行合同一般性义务和文件中规定的具体义务。乙方所提供服务的质量应与招标文件规定及投标文件承诺的内容相一致。</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（2）在本合同期内或合同终止后，未经甲方同意，不得泄露与本项目有关的保密资料。</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在项目服务期间应制定项目安全实施管理措施，并严格遵守企业单位安全管理要求，乙方在项目服务过程中因管理不当、维护措施不当等因素或不按安全管理要求，造成人员安全或财产损失事故的，其责任均由乙方承担，甲方不承担责任。</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（4）乙方应独立承担评估服务中由于乙方原因造成的各类责任。</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（5）法规、政策规定由乙方承担的其他责任。</w:t>
      </w:r>
      <w:r/>
    </w:p>
    <w:p>
      <w:pPr>
        <w:pStyle w:val="947"/>
        <w:ind w:firstLine="482"/>
        <w:spacing w:after="200" w:line="440" w:lineRule="atLeas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十四、违约责任</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14.1本合同生效后，甲乙双方任何一方无正当理由要求终止合同的，除双方签订补充协议外，责任方须按本合同及其补充协议的有关条款之规定承担违约责任，并应向对方支付合同金额5%的违约金。</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14.2乙方未按本合同规定提供相关服务或未能履行本合同规定的其他义务的，甲方有权要求乙方限期整改，逾期不整改或整改后仍达不到甲方要求的，甲方有权终止合同，由此造成甲方经济损失的，乙方应承担赔偿责任并向甲方支付合同金额5%的违约金。</w:t>
      </w:r>
      <w:r/>
    </w:p>
    <w:p>
      <w:pPr>
        <w:pStyle w:val="947"/>
        <w:ind w:firstLine="482"/>
        <w:spacing w:after="200" w:line="440" w:lineRule="atLeas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十五、不可抗力事件处理</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15.1在合同有效期内，任何一方因不可抗力事件导致不能履行合同，则合同履行期可延长，其延长期与不可抗力影响期相同。</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15.2不可抗力事件发生后，应立即通知对方，并寄送有关权威机构出具的证明。</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15.3不可抗力事件延续120天以上，双方应通过友好协商，确定是否继续履行合同。</w:t>
      </w:r>
      <w:r/>
    </w:p>
    <w:p>
      <w:pPr>
        <w:pStyle w:val="947"/>
        <w:ind w:firstLine="482"/>
        <w:spacing w:after="200" w:line="440" w:lineRule="atLeas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十六、诉讼</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16.1双方在执行合同中所发生的一切争议，应通过协商解决。如协商不成，可向合同签订地法院起诉，合同签订地在此约定为张家港市。</w:t>
      </w:r>
      <w:r/>
    </w:p>
    <w:p>
      <w:pPr>
        <w:pStyle w:val="947"/>
        <w:ind w:firstLine="482"/>
        <w:spacing w:after="200" w:line="440" w:lineRule="atLeas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十七、合同其他文件</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17.1下列文件为本合同不可分割部份，与本合同具有同等效力。</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(1)《中华人民共和国政府采购法》；</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(2)中标通知书；</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(3)供方中标的投标书；</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(4)招标文件；</w:t>
      </w:r>
      <w:r/>
    </w:p>
    <w:p>
      <w:pPr>
        <w:pStyle w:val="947"/>
        <w:ind w:firstLine="470"/>
        <w:spacing w:after="200"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(5)供方在招投标过程中所作的其他承诺、声明、书面澄清等。</w:t>
      </w:r>
      <w:r/>
    </w:p>
    <w:p>
      <w:pPr>
        <w:ind w:firstLine="482"/>
        <w:spacing w:after="181"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十六、合同生效及其它</w:t>
      </w:r>
      <w:r/>
    </w:p>
    <w:p>
      <w:pPr>
        <w:ind w:firstLine="480"/>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16.1合同经双方法定代表人</w:t>
      </w:r>
      <w:r>
        <w:rPr>
          <w:rFonts w:hint="eastAsia" w:ascii="宋体" w:hAnsi="宋体" w:cs="宋体"/>
          <w:bCs/>
          <w:color w:val="auto"/>
          <w:sz w:val="24"/>
          <w:szCs w:val="24"/>
          <w:highlight w:val="none"/>
        </w:rPr>
        <w:t xml:space="preserve">（或负责人）</w:t>
      </w:r>
      <w:r>
        <w:rPr>
          <w:rFonts w:hint="eastAsia" w:ascii="宋体" w:hAnsi="宋体" w:cs="宋体"/>
          <w:color w:val="auto"/>
          <w:sz w:val="24"/>
          <w:szCs w:val="24"/>
          <w:highlight w:val="none"/>
        </w:rPr>
        <w:t xml:space="preserve">或授权委托代表人签字并加盖单位公章后生效,生效后至张家港市政府采购管理中心备案。</w:t>
      </w:r>
      <w:r/>
    </w:p>
    <w:p>
      <w:pPr>
        <w:ind w:firstLine="480"/>
        <w:jc w:val="left"/>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16.2 本合同未尽事宜，遵照《民法典》合同编经甲乙双方协商一致可签订补充协议。</w:t>
      </w:r>
      <w:r/>
    </w:p>
    <w:p>
      <w:pPr>
        <w:ind w:firstLine="480"/>
        <w:jc w:val="left"/>
        <w:spacing w:after="181"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16.3本合同正本一式六份，具有同等法律效力，甲方三份，乙方、张家港市政府采购管理中心、采购代理机构各执一份。</w:t>
      </w:r>
      <w:r/>
    </w:p>
    <w:p>
      <w:pPr>
        <w:pStyle w:val="930"/>
        <w:pageBreakBefore/>
        <w:spacing w:line="360" w:lineRule="auto"/>
        <w:rPr>
          <w:rFonts w:ascii="宋体" w:hAnsi="宋体" w:eastAsia="宋体"/>
          <w:color w:val="auto"/>
          <w:highlight w:val="none"/>
        </w:rPr>
      </w:pPr>
      <w:r/>
      <w:bookmarkStart w:id="138" w:name="_Toc14967"/>
      <w:r/>
      <w:bookmarkStart w:id="139" w:name="_Toc16554"/>
      <w:r>
        <w:rPr>
          <w:rFonts w:hint="eastAsia" w:ascii="宋体" w:hAnsi="宋体" w:eastAsia="宋体"/>
          <w:color w:val="auto"/>
          <w:highlight w:val="none"/>
        </w:rPr>
        <w:t xml:space="preserve">第</w:t>
      </w:r>
      <w:bookmarkEnd w:id="113"/>
      <w:r>
        <w:rPr>
          <w:rFonts w:hint="eastAsia" w:ascii="宋体" w:hAnsi="宋体" w:eastAsia="宋体"/>
          <w:color w:val="auto"/>
          <w:highlight w:val="none"/>
        </w:rPr>
        <w:t xml:space="preserve">四章 项目需求</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8"/>
      <w:r/>
      <w:bookmarkEnd w:id="139"/>
      <w:r/>
      <w:bookmarkStart w:id="140" w:name="_Toc319429198"/>
      <w:r/>
      <w:bookmarkEnd w:id="140"/>
      <w:r/>
      <w:bookmarkStart w:id="141" w:name="_Toc274321794"/>
      <w:r/>
      <w:bookmarkEnd w:id="141"/>
      <w:r/>
      <w:bookmarkStart w:id="142" w:name="_Toc483515625"/>
      <w:r/>
      <w:bookmarkStart w:id="143" w:name="_Toc350255489"/>
      <w:r/>
      <w:bookmarkStart w:id="144" w:name="_Toc49090575"/>
      <w:r/>
      <w:bookmarkStart w:id="145" w:name="_Toc26554093"/>
      <w:r/>
      <w:r/>
    </w:p>
    <w:p>
      <w:pPr>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一、清单</w:t>
      </w:r>
      <w:r/>
    </w:p>
    <w:p>
      <w:pPr>
        <w:pStyle w:val="965"/>
        <w:ind w:firstLine="500"/>
        <w:spacing w:line="440" w:lineRule="exact"/>
        <w:rPr>
          <w:rFonts w:ascii="宋体" w:hAnsi="宋体" w:eastAsia="宋体" w:cs="宋体"/>
          <w:color w:val="auto"/>
          <w:spacing w:val="7"/>
          <w:highlight w:val="none"/>
        </w:rPr>
        <w:outlineLvl w:val="2"/>
      </w:pPr>
      <w:r>
        <w:rPr>
          <w:rFonts w:ascii="宋体" w:hAnsi="宋体" w:eastAsia="宋体" w:cs="宋体"/>
          <w:color w:val="auto"/>
          <w:spacing w:val="7"/>
          <w:highlight w:val="none"/>
        </w:rPr>
        <w:t xml:space="preserve">1.清单</w:t>
      </w:r>
      <w:r/>
    </w:p>
    <w:tbl>
      <w:tblPr>
        <w:tblStyle w:val="725"/>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99"/>
        <w:gridCol w:w="2182"/>
        <w:gridCol w:w="735"/>
        <w:gridCol w:w="855"/>
        <w:gridCol w:w="3608"/>
        <w:gridCol w:w="915"/>
        <w:gridCol w:w="968"/>
      </w:tblGrid>
      <w:tr>
        <w:trPr>
          <w:trHeight w:val="685"/>
        </w:trPr>
        <w:tc>
          <w:tcPr>
            <w:tcMar>
              <w:top w:w="100" w:type="dxa"/>
              <w:bottom w:w="100" w:type="dxa"/>
            </w:tcMar>
            <w:tcW w:w="699"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序号</w:t>
            </w:r>
            <w:r/>
          </w:p>
        </w:tc>
        <w:tc>
          <w:tcPr>
            <w:tcMar>
              <w:top w:w="100" w:type="dxa"/>
              <w:bottom w:w="100" w:type="dxa"/>
            </w:tcMar>
            <w:tcW w:w="2182"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名称</w:t>
            </w:r>
            <w:r/>
          </w:p>
        </w:tc>
        <w:tc>
          <w:tcPr>
            <w:tcMar>
              <w:top w:w="100" w:type="dxa"/>
              <w:bottom w:w="100" w:type="dxa"/>
            </w:tcMar>
            <w:tcW w:w="735"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数量</w:t>
            </w:r>
            <w:r/>
          </w:p>
        </w:tc>
        <w:tc>
          <w:tcPr>
            <w:tcMar>
              <w:top w:w="100" w:type="dxa"/>
              <w:bottom w:w="100" w:type="dxa"/>
            </w:tcMar>
            <w:tcW w:w="855"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单位</w:t>
            </w:r>
            <w:r/>
          </w:p>
        </w:tc>
        <w:tc>
          <w:tcPr>
            <w:tcMar>
              <w:top w:w="100" w:type="dxa"/>
              <w:bottom w:w="100" w:type="dxa"/>
            </w:tcMar>
            <w:tcW w:w="3608"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所属行业</w:t>
            </w:r>
            <w:r/>
          </w:p>
        </w:tc>
        <w:tc>
          <w:tcPr>
            <w:tcMar>
              <w:top w:w="100" w:type="dxa"/>
              <w:bottom w:w="100" w:type="dxa"/>
            </w:tcMar>
            <w:tcW w:w="915"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标的类型</w:t>
            </w:r>
            <w:r/>
          </w:p>
        </w:tc>
        <w:tc>
          <w:tcPr>
            <w:tcMar>
              <w:top w:w="100" w:type="dxa"/>
              <w:bottom w:w="100" w:type="dxa"/>
            </w:tcMar>
            <w:tcW w:w="968"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标的属性</w:t>
            </w:r>
            <w:r/>
          </w:p>
        </w:tc>
      </w:tr>
      <w:tr>
        <w:trPr/>
        <w:tc>
          <w:tcPr>
            <w:tcMar>
              <w:top w:w="100" w:type="dxa"/>
              <w:bottom w:w="100" w:type="dxa"/>
            </w:tcMar>
            <w:tcW w:w="699"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1</w:t>
            </w:r>
            <w:r/>
          </w:p>
        </w:tc>
        <w:tc>
          <w:tcPr>
            <w:tcMar>
              <w:top w:w="100" w:type="dxa"/>
              <w:bottom w:w="100" w:type="dxa"/>
            </w:tcMar>
            <w:tcW w:w="2182" w:type="dxa"/>
            <w:vAlign w:val="center"/>
            <w:textDirection w:val="lrTb"/>
            <w:noWrap w:val="false"/>
          </w:tcPr>
          <w:p>
            <w:pPr>
              <w:pStyle w:val="1012"/>
              <w:jc w:val="center"/>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张家港市2026年度基准地价更新、标定地价更新和城镇地价动态监测工作技术服务项目</w:t>
            </w:r>
            <w:r/>
          </w:p>
        </w:tc>
        <w:tc>
          <w:tcPr>
            <w:tcMar>
              <w:top w:w="100" w:type="dxa"/>
              <w:bottom w:w="100" w:type="dxa"/>
            </w:tcMar>
            <w:tcW w:w="735"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1.00</w:t>
            </w:r>
            <w:r/>
          </w:p>
        </w:tc>
        <w:tc>
          <w:tcPr>
            <w:tcMar>
              <w:top w:w="100" w:type="dxa"/>
              <w:bottom w:w="100" w:type="dxa"/>
            </w:tcMar>
            <w:tcW w:w="855"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项</w:t>
            </w:r>
            <w:r/>
          </w:p>
        </w:tc>
        <w:tc>
          <w:tcPr>
            <w:tcMar>
              <w:top w:w="100" w:type="dxa"/>
              <w:bottom w:w="100" w:type="dxa"/>
            </w:tcMar>
            <w:tcW w:w="3608" w:type="dxa"/>
            <w:vAlign w:val="center"/>
            <w:textDirection w:val="lrTb"/>
            <w:noWrap w:val="false"/>
          </w:tcPr>
          <w:p>
            <w:pPr>
              <w:pStyle w:val="1012"/>
              <w:jc w:val="center"/>
              <w:rPr>
                <w:rStyle w:val="920"/>
                <w:rFonts w:ascii="宋体" w:hAnsi="宋体" w:eastAsia="宋体" w:cs="宋体"/>
                <w:color w:val="auto"/>
                <w:highlight w:val="none"/>
              </w:rPr>
            </w:pPr>
            <w:r>
              <w:rPr>
                <w:rFonts w:ascii="宋体" w:hAnsi="宋体" w:eastAsia="宋体" w:cs="宋体"/>
                <w:color w:val="auto"/>
                <w:spacing w:val="7"/>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915"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主要采购标的</w:t>
            </w:r>
            <w:r/>
          </w:p>
        </w:tc>
        <w:tc>
          <w:tcPr>
            <w:tcMar>
              <w:top w:w="100" w:type="dxa"/>
              <w:bottom w:w="100" w:type="dxa"/>
            </w:tcMar>
            <w:tcW w:w="968" w:type="dxa"/>
            <w:vAlign w:val="center"/>
            <w:textDirection w:val="lrTb"/>
            <w:noWrap w:val="false"/>
          </w:tcPr>
          <w:p>
            <w:pPr>
              <w:pStyle w:val="1012"/>
              <w:jc w:val="center"/>
              <w:rPr>
                <w:rStyle w:val="920"/>
                <w:rFonts w:ascii="宋体" w:hAnsi="宋体" w:eastAsia="宋体" w:cs="宋体"/>
                <w:color w:val="auto"/>
                <w:highlight w:val="none"/>
              </w:rPr>
            </w:pPr>
            <w:r>
              <w:rPr>
                <w:rStyle w:val="920"/>
                <w:rFonts w:ascii="宋体" w:hAnsi="宋体" w:eastAsia="宋体" w:cs="宋体"/>
                <w:color w:val="auto"/>
                <w:highlight w:val="none"/>
              </w:rPr>
              <w:t xml:space="preserve">服务类</w:t>
            </w:r>
            <w:r/>
          </w:p>
        </w:tc>
      </w:tr>
    </w:tbl>
    <w:p>
      <w:pPr>
        <w:pStyle w:val="1012"/>
        <w:jc w:val="center"/>
        <w:rPr>
          <w:rFonts w:ascii="宋体" w:hAnsi="宋体" w:eastAsia="宋体" w:cs="宋体"/>
          <w:color w:val="auto"/>
          <w:highlight w:val="none"/>
        </w:rPr>
      </w:pPr>
      <w:r>
        <w:rPr>
          <w:rFonts w:ascii="宋体" w:hAnsi="宋体" w:eastAsia="宋体" w:cs="宋体"/>
          <w:color w:val="auto"/>
          <w:highlight w:val="none"/>
        </w:rPr>
      </w:r>
      <w:r/>
    </w:p>
    <w:p>
      <w:pPr>
        <w:pStyle w:val="988"/>
        <w:ind w:firstLine="510"/>
        <w:spacing w:after="120"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bookmarkStart w:id="146" w:name="EB408f2104b2e44804a6615a1921eee37c"/>
      <w:r/>
      <w:bookmarkEnd w:id="146"/>
      <w:r/>
      <w:r/>
    </w:p>
    <w:p>
      <w:pPr>
        <w:pStyle w:val="988"/>
        <w:ind w:firstLine="510"/>
        <w:spacing w:after="12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二、技术要求</w:t>
      </w:r>
      <w:bookmarkEnd w:id="142"/>
      <w:r/>
      <w:bookmarkEnd w:id="143"/>
      <w:r/>
      <w:r/>
    </w:p>
    <w:tbl>
      <w:tblPr>
        <w:tblStyle w:val="72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1049"/>
        <w:gridCol w:w="83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Cs/>
                <w:color w:val="auto"/>
                <w:highlight w:val="none"/>
              </w:rPr>
              <w:t xml:space="preserve">为优化土地资源配置，加快张家港市公示地价体系建设，根据自然资源部《关于部开展2019年度自然资源评价评估工作的通知》（自然资办发[2019]36号）、《江苏省自然资源厅关于开展自然资源评价评估工作建立公示地价体系的通知》（苏自然资函[2019]625号）、《江苏省自然资源厅关于加快推进公示地价体系建设的通知》（苏自然资函[2020]400号）等文件要求，拟进行</w:t>
            </w:r>
            <w:r>
              <w:rPr>
                <w:rFonts w:hint="eastAsia" w:ascii="宋体" w:hAnsi="宋体" w:eastAsia="宋体" w:cs="宋体"/>
                <w:iCs/>
                <w:color w:val="auto"/>
                <w:highlight w:val="none"/>
              </w:rPr>
              <w:t xml:space="preserve">张家港市2026年度基准地价更新、2026-2028年度标定地价更新和城镇地价动态监测工作技术服务项目</w:t>
            </w:r>
            <w:r>
              <w:rPr>
                <w:rFonts w:ascii="宋体" w:hAnsi="宋体" w:eastAsia="宋体" w:cs="宋体"/>
                <w:iCs/>
                <w:color w:val="auto"/>
                <w:highlight w:val="none"/>
              </w:rPr>
              <w:t xml:space="preserve">。项目预算为</w:t>
            </w:r>
            <w:r>
              <w:rPr>
                <w:rFonts w:hint="eastAsia" w:ascii="宋体" w:hAnsi="宋体" w:eastAsia="宋体" w:cs="宋体"/>
                <w:iCs/>
                <w:color w:val="auto"/>
                <w:highlight w:val="none"/>
              </w:rPr>
              <w:t xml:space="preserve">18</w:t>
            </w:r>
            <w:r>
              <w:rPr>
                <w:rFonts w:ascii="宋体" w:hAnsi="宋体" w:eastAsia="宋体" w:cs="宋体"/>
                <w:iCs/>
                <w:color w:val="auto"/>
                <w:highlight w:val="none"/>
              </w:rPr>
              <w:t xml:space="preserve">0万元。</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工作范围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Cs/>
                <w:color w:val="auto"/>
                <w:highlight w:val="none"/>
              </w:rPr>
              <w:t xml:space="preserve">张家港市全域</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工作主要依据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（1）中华人民共和国国家标准《土地利用现状分类》（GB/T21010-2017）；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（2）《城市地价动态监测技术规范》（TD/T 1009-2007）；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（3）《江苏省城镇地价动态监测技术规范》（2019年版）；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（4）《城镇土地分等定级规程》（GB/T 18507-2014）；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（5）《城镇土地估价规程》(GB/T18508-2014）；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（6）《农村集体土地价格评估技术指引》；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（7）《农用地定级规程》（GB/T 28405-2012）；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（8）《农用地估价规程》（GB/T 28406-2012）；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Cs/>
                <w:color w:val="auto"/>
                <w:highlight w:val="none"/>
              </w:rPr>
            </w:pPr>
            <w:r>
              <w:rPr>
                <w:rFonts w:ascii="宋体" w:hAnsi="宋体" w:eastAsia="宋体" w:cs="宋体"/>
                <w:iCs/>
                <w:color w:val="auto"/>
                <w:highlight w:val="none"/>
              </w:rPr>
              <w:t xml:space="preserve">（9）《标定地价规程》（TD/T 1052-2017）；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工作内容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1.城镇建设用地基准地价工作。在张家港市范围内开展商服、住宅、工业和公共管理与公共服务用地基准地价的制定，包括各用途级别划分、基准地价测算、基准地价备案等。要求202</w:t>
            </w:r>
            <w:r>
              <w:rPr>
                <w:rFonts w:hint="eastAsia" w:ascii="宋体" w:hAnsi="宋体" w:eastAsia="宋体" w:cs="宋体"/>
                <w:i/>
                <w:color w:val="auto"/>
                <w:highlight w:val="none"/>
                <w:u w:val="single"/>
              </w:rPr>
              <w:t xml:space="preserve">7</w:t>
            </w:r>
            <w:r>
              <w:rPr>
                <w:rFonts w:ascii="宋体" w:hAnsi="宋体" w:eastAsia="宋体" w:cs="宋体"/>
                <w:i/>
                <w:color w:val="auto"/>
                <w:highlight w:val="none"/>
                <w:u w:val="single"/>
              </w:rPr>
              <w:t xml:space="preserve">年</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月3</w:t>
            </w:r>
            <w:r>
              <w:rPr>
                <w:rFonts w:hint="eastAsia" w:ascii="宋体" w:hAnsi="宋体" w:eastAsia="宋体" w:cs="宋体"/>
                <w:i/>
                <w:color w:val="auto"/>
                <w:highlight w:val="none"/>
                <w:u w:val="single"/>
              </w:rPr>
              <w:t xml:space="preserve">0</w:t>
            </w:r>
            <w:r>
              <w:rPr>
                <w:rFonts w:ascii="宋体" w:hAnsi="宋体" w:eastAsia="宋体" w:cs="宋体"/>
                <w:i/>
                <w:color w:val="auto"/>
                <w:highlight w:val="none"/>
                <w:u w:val="single"/>
              </w:rPr>
              <w:t xml:space="preserve">日前完成。</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2.集体建设用地基准地价工作。在张家港市范围内开展集体建设用地基准地价制定工作，主要包括集体建设用地基准地价范围确定、集体建设用地定级划分、设立样点宗地、评估确定集体建设用地基准地价、集体建设用地基准地价验收及备案。要求202</w:t>
            </w:r>
            <w:r>
              <w:rPr>
                <w:rFonts w:hint="eastAsia" w:ascii="宋体" w:hAnsi="宋体" w:eastAsia="宋体" w:cs="宋体"/>
                <w:i/>
                <w:color w:val="auto"/>
                <w:highlight w:val="none"/>
                <w:u w:val="single"/>
              </w:rPr>
              <w:t xml:space="preserve">7</w:t>
            </w:r>
            <w:r>
              <w:rPr>
                <w:rFonts w:ascii="宋体" w:hAnsi="宋体" w:eastAsia="宋体" w:cs="宋体"/>
                <w:i/>
                <w:color w:val="auto"/>
                <w:highlight w:val="none"/>
                <w:u w:val="single"/>
              </w:rPr>
              <w:t xml:space="preserve">年</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月3</w:t>
            </w:r>
            <w:r>
              <w:rPr>
                <w:rFonts w:hint="eastAsia" w:ascii="宋体" w:hAnsi="宋体" w:eastAsia="宋体" w:cs="宋体"/>
                <w:i/>
                <w:color w:val="auto"/>
                <w:highlight w:val="none"/>
                <w:u w:val="single"/>
              </w:rPr>
              <w:t xml:space="preserve">0</w:t>
            </w:r>
            <w:r>
              <w:rPr>
                <w:rFonts w:ascii="宋体" w:hAnsi="宋体" w:eastAsia="宋体" w:cs="宋体"/>
                <w:i/>
                <w:color w:val="auto"/>
                <w:highlight w:val="none"/>
                <w:u w:val="single"/>
              </w:rPr>
              <w:t xml:space="preserve">日前完成。</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3.农用地基准地价工作。对张家港市范围内的农用地划分土地级别，并在级别的基础上，选取合适的方法，评估各级别基准地价、农用地基准地价验收、备案。要求202</w:t>
            </w:r>
            <w:r>
              <w:rPr>
                <w:rFonts w:hint="eastAsia" w:ascii="宋体" w:hAnsi="宋体" w:eastAsia="宋体" w:cs="宋体"/>
                <w:i/>
                <w:color w:val="auto"/>
                <w:highlight w:val="none"/>
                <w:u w:val="single"/>
              </w:rPr>
              <w:t xml:space="preserve">7</w:t>
            </w:r>
            <w:r>
              <w:rPr>
                <w:rFonts w:ascii="宋体" w:hAnsi="宋体" w:eastAsia="宋体" w:cs="宋体"/>
                <w:i/>
                <w:color w:val="auto"/>
                <w:highlight w:val="none"/>
                <w:u w:val="single"/>
              </w:rPr>
              <w:t xml:space="preserve">年</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月3</w:t>
            </w:r>
            <w:r>
              <w:rPr>
                <w:rFonts w:hint="eastAsia" w:ascii="宋体" w:hAnsi="宋体" w:eastAsia="宋体" w:cs="宋体"/>
                <w:i/>
                <w:color w:val="auto"/>
                <w:highlight w:val="none"/>
                <w:u w:val="single"/>
              </w:rPr>
              <w:t xml:space="preserve">0</w:t>
            </w:r>
            <w:r>
              <w:rPr>
                <w:rFonts w:ascii="宋体" w:hAnsi="宋体" w:eastAsia="宋体" w:cs="宋体"/>
                <w:i/>
                <w:color w:val="auto"/>
                <w:highlight w:val="none"/>
                <w:u w:val="single"/>
              </w:rPr>
              <w:t xml:space="preserve">日前完成。</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4.标定地价体系更新。标定地价体系更新工作包括前期工作准备、调整标定区域、更新标准宗地、标准宗地评估、修正体系建立、成果编制、成果论证验收和成果资料整理等工作。202</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年度标定地价更新工作在202</w:t>
            </w:r>
            <w:r>
              <w:rPr>
                <w:rFonts w:hint="eastAsia" w:ascii="宋体" w:hAnsi="宋体" w:eastAsia="宋体" w:cs="宋体"/>
                <w:i/>
                <w:color w:val="auto"/>
                <w:highlight w:val="none"/>
                <w:u w:val="single"/>
              </w:rPr>
              <w:t xml:space="preserve">7</w:t>
            </w:r>
            <w:r>
              <w:rPr>
                <w:rFonts w:ascii="宋体" w:hAnsi="宋体" w:eastAsia="宋体" w:cs="宋体"/>
                <w:i/>
                <w:color w:val="auto"/>
                <w:highlight w:val="none"/>
                <w:u w:val="single"/>
              </w:rPr>
              <w:t xml:space="preserve">年</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月3</w:t>
            </w:r>
            <w:r>
              <w:rPr>
                <w:rFonts w:hint="eastAsia" w:ascii="宋体" w:hAnsi="宋体" w:eastAsia="宋体" w:cs="宋体"/>
                <w:i/>
                <w:color w:val="auto"/>
                <w:highlight w:val="none"/>
                <w:u w:val="single"/>
              </w:rPr>
              <w:t xml:space="preserve">0</w:t>
            </w:r>
            <w:r>
              <w:rPr>
                <w:rFonts w:ascii="宋体" w:hAnsi="宋体" w:eastAsia="宋体" w:cs="宋体"/>
                <w:i/>
                <w:color w:val="auto"/>
                <w:highlight w:val="none"/>
                <w:u w:val="single"/>
              </w:rPr>
              <w:t xml:space="preserve">日前完成，202</w:t>
            </w:r>
            <w:r>
              <w:rPr>
                <w:rFonts w:hint="eastAsia" w:ascii="宋体" w:hAnsi="宋体" w:eastAsia="宋体" w:cs="宋体"/>
                <w:i/>
                <w:color w:val="auto"/>
                <w:highlight w:val="none"/>
                <w:u w:val="single"/>
              </w:rPr>
              <w:t xml:space="preserve">7</w:t>
            </w:r>
            <w:r>
              <w:rPr>
                <w:rFonts w:ascii="宋体" w:hAnsi="宋体" w:eastAsia="宋体" w:cs="宋体"/>
                <w:i/>
                <w:color w:val="auto"/>
                <w:highlight w:val="none"/>
                <w:u w:val="single"/>
              </w:rPr>
              <w:t xml:space="preserve">年度标定地价更新工作在202</w:t>
            </w:r>
            <w:r>
              <w:rPr>
                <w:rFonts w:hint="eastAsia" w:ascii="宋体" w:hAnsi="宋体" w:eastAsia="宋体" w:cs="宋体"/>
                <w:i/>
                <w:color w:val="auto"/>
                <w:highlight w:val="none"/>
                <w:u w:val="single"/>
              </w:rPr>
              <w:t xml:space="preserve">8</w:t>
            </w:r>
            <w:r>
              <w:rPr>
                <w:rFonts w:ascii="宋体" w:hAnsi="宋体" w:eastAsia="宋体" w:cs="宋体"/>
                <w:i/>
                <w:color w:val="auto"/>
                <w:highlight w:val="none"/>
                <w:u w:val="single"/>
              </w:rPr>
              <w:t xml:space="preserve">年</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月3</w:t>
            </w:r>
            <w:r>
              <w:rPr>
                <w:rFonts w:hint="eastAsia" w:ascii="宋体" w:hAnsi="宋体" w:eastAsia="宋体" w:cs="宋体"/>
                <w:i/>
                <w:color w:val="auto"/>
                <w:highlight w:val="none"/>
                <w:u w:val="single"/>
              </w:rPr>
              <w:t xml:space="preserve">0</w:t>
            </w:r>
            <w:r>
              <w:rPr>
                <w:rFonts w:ascii="宋体" w:hAnsi="宋体" w:eastAsia="宋体" w:cs="宋体"/>
                <w:i/>
                <w:color w:val="auto"/>
                <w:highlight w:val="none"/>
                <w:u w:val="single"/>
              </w:rPr>
              <w:t xml:space="preserve">日前完成，202</w:t>
            </w:r>
            <w:r>
              <w:rPr>
                <w:rFonts w:hint="eastAsia" w:ascii="宋体" w:hAnsi="宋体" w:eastAsia="宋体" w:cs="宋体"/>
                <w:i/>
                <w:color w:val="auto"/>
                <w:highlight w:val="none"/>
                <w:u w:val="single"/>
              </w:rPr>
              <w:t xml:space="preserve">8</w:t>
            </w:r>
            <w:r>
              <w:rPr>
                <w:rFonts w:ascii="宋体" w:hAnsi="宋体" w:eastAsia="宋体" w:cs="宋体"/>
                <w:i/>
                <w:color w:val="auto"/>
                <w:highlight w:val="none"/>
                <w:u w:val="single"/>
              </w:rPr>
              <w:t xml:space="preserve">年度标定地价更新工作在202</w:t>
            </w:r>
            <w:r>
              <w:rPr>
                <w:rFonts w:hint="eastAsia" w:ascii="宋体" w:hAnsi="宋体" w:eastAsia="宋体" w:cs="宋体"/>
                <w:i/>
                <w:color w:val="auto"/>
                <w:highlight w:val="none"/>
                <w:u w:val="single"/>
              </w:rPr>
              <w:t xml:space="preserve">9</w:t>
            </w:r>
            <w:r>
              <w:rPr>
                <w:rFonts w:ascii="宋体" w:hAnsi="宋体" w:eastAsia="宋体" w:cs="宋体"/>
                <w:i/>
                <w:color w:val="auto"/>
                <w:highlight w:val="none"/>
                <w:u w:val="single"/>
              </w:rPr>
              <w:t xml:space="preserve">年</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月3</w:t>
            </w:r>
            <w:r>
              <w:rPr>
                <w:rFonts w:hint="eastAsia" w:ascii="宋体" w:hAnsi="宋体" w:eastAsia="宋体" w:cs="宋体"/>
                <w:i/>
                <w:color w:val="auto"/>
                <w:highlight w:val="none"/>
                <w:u w:val="single"/>
              </w:rPr>
              <w:t xml:space="preserve">0</w:t>
            </w:r>
            <w:r>
              <w:rPr>
                <w:rFonts w:ascii="宋体" w:hAnsi="宋体" w:eastAsia="宋体" w:cs="宋体"/>
                <w:i/>
                <w:color w:val="auto"/>
                <w:highlight w:val="none"/>
                <w:u w:val="single"/>
              </w:rPr>
              <w:t xml:space="preserve">日前完成。</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5.城镇地价动态监测。开展季度地价动态监测工作。主要包括：监测范围的确定、地价区段的划分和调整、地价动态监测点复核、补设、增设与更新、监测点地价评估和地价监测指标测算等。202</w:t>
            </w:r>
            <w:r>
              <w:rPr>
                <w:rFonts w:hint="eastAsia" w:ascii="宋体" w:hAnsi="宋体" w:eastAsia="宋体" w:cs="宋体"/>
                <w:i/>
                <w:color w:val="auto"/>
                <w:highlight w:val="none"/>
                <w:u w:val="single"/>
              </w:rPr>
              <w:t xml:space="preserve">6</w:t>
            </w:r>
            <w:r>
              <w:rPr>
                <w:rFonts w:ascii="宋体" w:hAnsi="宋体" w:eastAsia="宋体" w:cs="宋体"/>
                <w:i/>
                <w:color w:val="auto"/>
                <w:highlight w:val="none"/>
                <w:u w:val="single"/>
              </w:rPr>
              <w:t xml:space="preserve">年度城镇地价动态监测工作在202</w:t>
            </w:r>
            <w:r>
              <w:rPr>
                <w:rFonts w:hint="eastAsia" w:ascii="宋体" w:hAnsi="宋体" w:eastAsia="宋体" w:cs="宋体"/>
                <w:i/>
                <w:color w:val="auto"/>
                <w:highlight w:val="none"/>
                <w:u w:val="single"/>
              </w:rPr>
              <w:t xml:space="preserve">7</w:t>
            </w:r>
            <w:r>
              <w:rPr>
                <w:rFonts w:ascii="宋体" w:hAnsi="宋体" w:eastAsia="宋体" w:cs="宋体"/>
                <w:i/>
                <w:color w:val="auto"/>
                <w:highlight w:val="none"/>
                <w:u w:val="single"/>
              </w:rPr>
              <w:t xml:space="preserve">年1月31日前提交，202</w:t>
            </w:r>
            <w:r>
              <w:rPr>
                <w:rFonts w:hint="eastAsia" w:ascii="宋体" w:hAnsi="宋体" w:eastAsia="宋体" w:cs="宋体"/>
                <w:i/>
                <w:color w:val="auto"/>
                <w:highlight w:val="none"/>
                <w:u w:val="single"/>
              </w:rPr>
              <w:t xml:space="preserve">7</w:t>
            </w:r>
            <w:r>
              <w:rPr>
                <w:rFonts w:ascii="宋体" w:hAnsi="宋体" w:eastAsia="宋体" w:cs="宋体"/>
                <w:i/>
                <w:color w:val="auto"/>
                <w:highlight w:val="none"/>
                <w:u w:val="single"/>
              </w:rPr>
              <w:t xml:space="preserve">年度城镇地价动态监测工作在202</w:t>
            </w:r>
            <w:r>
              <w:rPr>
                <w:rFonts w:hint="eastAsia" w:ascii="宋体" w:hAnsi="宋体" w:eastAsia="宋体" w:cs="宋体"/>
                <w:i/>
                <w:color w:val="auto"/>
                <w:highlight w:val="none"/>
                <w:u w:val="single"/>
              </w:rPr>
              <w:t xml:space="preserve">8</w:t>
            </w:r>
            <w:r>
              <w:rPr>
                <w:rFonts w:ascii="宋体" w:hAnsi="宋体" w:eastAsia="宋体" w:cs="宋体"/>
                <w:i/>
                <w:color w:val="auto"/>
                <w:highlight w:val="none"/>
                <w:u w:val="single"/>
              </w:rPr>
              <w:t xml:space="preserve">年1月31日前提交，202</w:t>
            </w:r>
            <w:r>
              <w:rPr>
                <w:rFonts w:hint="eastAsia" w:ascii="宋体" w:hAnsi="宋体" w:eastAsia="宋体" w:cs="宋体"/>
                <w:i/>
                <w:color w:val="auto"/>
                <w:highlight w:val="none"/>
                <w:u w:val="single"/>
              </w:rPr>
              <w:t xml:space="preserve">8</w:t>
            </w:r>
            <w:r>
              <w:rPr>
                <w:rFonts w:ascii="宋体" w:hAnsi="宋体" w:eastAsia="宋体" w:cs="宋体"/>
                <w:i/>
                <w:color w:val="auto"/>
                <w:highlight w:val="none"/>
                <w:u w:val="single"/>
              </w:rPr>
              <w:t xml:space="preserve">年度城镇地价动态监测工作在202</w:t>
            </w:r>
            <w:r>
              <w:rPr>
                <w:rFonts w:hint="eastAsia" w:ascii="宋体" w:hAnsi="宋体" w:eastAsia="宋体" w:cs="宋体"/>
                <w:i/>
                <w:color w:val="auto"/>
                <w:highlight w:val="none"/>
                <w:u w:val="single"/>
              </w:rPr>
              <w:t xml:space="preserve">9</w:t>
            </w:r>
            <w:r>
              <w:rPr>
                <w:rFonts w:ascii="宋体" w:hAnsi="宋体" w:eastAsia="宋体" w:cs="宋体"/>
                <w:i/>
                <w:color w:val="auto"/>
                <w:highlight w:val="none"/>
                <w:u w:val="single"/>
              </w:rPr>
              <w:t xml:space="preserve">年1月31日前提交。</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工作底图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1.工作底图以</w:t>
            </w:r>
            <w:r>
              <w:rPr>
                <w:rFonts w:hint="eastAsia" w:ascii="宋体" w:hAnsi="宋体" w:eastAsia="宋体" w:cs="宋体"/>
                <w:i/>
                <w:color w:val="auto"/>
                <w:highlight w:val="none"/>
                <w:u w:val="single"/>
              </w:rPr>
              <w:t xml:space="preserve">变更库</w:t>
            </w:r>
            <w:r>
              <w:rPr>
                <w:rFonts w:ascii="宋体" w:hAnsi="宋体" w:eastAsia="宋体" w:cs="宋体"/>
                <w:i/>
                <w:color w:val="auto"/>
                <w:highlight w:val="none"/>
                <w:u w:val="single"/>
              </w:rPr>
              <w:t xml:space="preserve">为基础</w:t>
            </w:r>
            <w:r>
              <w:rPr>
                <w:rFonts w:hint="eastAsia" w:ascii="宋体" w:hAnsi="宋体" w:eastAsia="宋体" w:cs="宋体"/>
                <w:i/>
                <w:color w:val="auto"/>
                <w:highlight w:val="none"/>
                <w:u w:val="single"/>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提交技术成果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1.城镇地价动态监测工作成果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（1）季度工作成果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季度监测成果表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（2）年度监测成果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①表格成果：包括地价区段登记表、地价区段变更登记表、地价监测点登记表、地价监测点变更登记表。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②文字成果：年度城镇地价动态监测分析报告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③图件成果：各用途地价区段及地价监测点分布图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④数据库成果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2.城镇建设用地基准地价更新工作成果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（1）文字成果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①城镇建设用地基准地价更新工作报告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②城镇建设用地基准地价更新技术报告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（2）图件成果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①各影响因素作用分值图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②城镇建设用地（商服、住宅、工业和公共管理与公共服务用地）基准地价成果图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（3）数据库成果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包括由影响因素作用分、交易样点等内容构成的成果数据库。</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3.集体建设用地基准地价更新工作成果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（1）文字成果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①集体建设用地基准地价更新工作报告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②集体建设用地基准地价更新技术报告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（2）图件成果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①各影响因素作用分值图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②集体建设用地基准地价成果图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（3）数据库成果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包括由影响因素作用分、交易样点等内容构成的成果数据库</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4.农用地基准地价更新工作成果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（1）文字成果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①农用地基准地价更新工作报告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②农用地基准地价更新技术报告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（2）图件成果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①各影响因素作用分值图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②农用地基准地价成果图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（3）数据库成果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包括由影响因素作用分、交易样点等内容构成的成果数据库。</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5.标定地价体系更新工作成果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（1）文字成果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①标定地价评估报告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②标定地价体系建设报告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（2）表格成果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①标准宗地基本信息登记表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②标准宗地评估技术要点表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③标定地价建议及结果表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④标定地价信息公示表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⑤标定地价修正体系表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（3）图件成果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标准宗地与标定区域布设图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（4）数据库成果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包括由标定区域、标准宗地的空间要素、属性要素及标定地价各相关成果表格等内容构成的标定地价成果数据库。</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人员配置要求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本项目要求配置项目负责人1名及</w:t>
            </w:r>
            <w:r>
              <w:rPr>
                <w:rFonts w:hint="eastAsia" w:ascii="宋体" w:hAnsi="宋体" w:eastAsia="宋体" w:cs="宋体"/>
                <w:color w:val="auto"/>
                <w:highlight w:val="none"/>
              </w:rPr>
              <w:t xml:space="preserve">不少于12名</w:t>
            </w:r>
            <w:r>
              <w:rPr>
                <w:rFonts w:ascii="宋体" w:hAnsi="宋体" w:eastAsia="宋体" w:cs="宋体"/>
                <w:color w:val="auto"/>
                <w:highlight w:val="none"/>
              </w:rPr>
              <w:t xml:space="preserve">的项目组成员，其中项目负责人应具备土地相关专业中级及以上技术职称、</w:t>
            </w:r>
            <w:r>
              <w:rPr>
                <w:rFonts w:hint="eastAsia" w:ascii="宋体" w:hAnsi="宋体" w:eastAsia="宋体" w:cs="宋体"/>
                <w:color w:val="auto"/>
                <w:highlight w:val="none"/>
              </w:rPr>
              <w:t xml:space="preserve">‌房地产估价师职业资格‌</w:t>
            </w:r>
            <w:r>
              <w:rPr>
                <w:rFonts w:ascii="宋体" w:hAnsi="宋体" w:eastAsia="宋体" w:cs="宋体"/>
                <w:color w:val="auto"/>
                <w:highlight w:val="none"/>
              </w:rPr>
              <w:t xml:space="preserve">，项目组成员（项目负责人除外）应具有</w:t>
            </w:r>
            <w:r>
              <w:rPr>
                <w:rFonts w:hint="eastAsia" w:ascii="宋体" w:hAnsi="宋体" w:eastAsia="宋体" w:cs="宋体"/>
                <w:color w:val="auto"/>
                <w:highlight w:val="none"/>
              </w:rPr>
              <w:t xml:space="preserve">‌房地产估价师职业资格</w:t>
            </w:r>
            <w:r>
              <w:rPr>
                <w:rFonts w:ascii="宋体" w:hAnsi="宋体" w:eastAsia="宋体" w:cs="宋体"/>
                <w:color w:val="auto"/>
                <w:highlight w:val="none"/>
              </w:rPr>
              <w:t xml:space="preserve">，或中级及以上技术职称（土地相关专业）。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服务质量保证及售后服务要求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1.中标人需严格按采购人规定的时间完成项目的全部工作内容，如在实施的过程中出现错误，误差，需负责及时更正直至采购人确认合格，中标方在项目进行过程中产生的任何安全、损坏等责任事故一律由中标方自行承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2.中标方需提供必要的技术支持，协助采购人完成其他需要中标方配合的服务。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3.中标方应严格遵守服务合约，项目完成以后，如采购人有需要中标方配合的服务，中标方必需予以配合，协助采购人完善项目内容。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i/>
                <w:color w:val="auto"/>
                <w:highlight w:val="none"/>
                <w:u w:val="single"/>
              </w:rPr>
            </w:pPr>
            <w:r>
              <w:rPr>
                <w:rFonts w:ascii="宋体" w:hAnsi="宋体" w:eastAsia="宋体" w:cs="宋体"/>
                <w:i/>
                <w:color w:val="auto"/>
                <w:highlight w:val="none"/>
                <w:u w:val="single"/>
              </w:rPr>
              <w:t xml:space="preserve">4.此项目要求提供多样化技术支持服务，处理出现的各种问题，以保证工作的正常运行。中标人服务响应时间为2小时、一般售后问题时间控制在4小时内、重大售后问题时间控制住8小时内。在客户工作需要技术支持情况下，如需现场解决，到达现场时间不超过2小时，特殊情况下不超过3小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58" w:type="dxa"/>
            <w:vAlign w:val="center"/>
            <w:textDirection w:val="lrTb"/>
            <w:noWrap w:val="false"/>
          </w:tcPr>
          <w:p>
            <w:pPr>
              <w:pStyle w:val="938"/>
              <w:jc w:val="center"/>
              <w:rPr>
                <w:rFonts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9" w:type="dxa"/>
            <w:vAlign w:val="center"/>
            <w:textDirection w:val="lrTb"/>
            <w:noWrap w:val="false"/>
          </w:tcPr>
          <w:p>
            <w:pPr>
              <w:pStyle w:val="938"/>
              <w:rPr>
                <w:rFonts w:ascii="宋体" w:hAnsi="宋体" w:eastAsia="宋体" w:cs="宋体"/>
                <w:color w:val="auto"/>
                <w:highlight w:val="none"/>
              </w:rPr>
            </w:pPr>
            <w:r>
              <w:rPr>
                <w:rFonts w:hint="eastAsia" w:ascii="宋体" w:hAnsi="宋体" w:eastAsia="宋体" w:cs="宋体"/>
                <w:color w:val="auto"/>
                <w:highlight w:val="none"/>
              </w:rPr>
              <w:t xml:space="preserve">数据</w:t>
            </w:r>
            <w:r>
              <w:rPr>
                <w:rFonts w:ascii="宋体" w:hAnsi="宋体" w:eastAsia="宋体" w:cs="宋体"/>
                <w:color w:val="auto"/>
                <w:highlight w:val="none"/>
              </w:rPr>
              <w:t xml:space="preserve">保密要求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1、中标单位负责对招标单位所提供资料及最终成果的保密，中标单位及其工作人员需遵守采购单位的保密规定，不以任何形式将收集的所有资料、数据等进行泄漏、传播；</w:t>
            </w:r>
            <w:r/>
          </w:p>
          <w:p>
            <w:pPr>
              <w:pStyle w:val="938"/>
              <w:rPr>
                <w:rFonts w:ascii="宋体" w:hAnsi="宋体" w:eastAsia="宋体" w:cs="宋体"/>
                <w:color w:val="auto"/>
                <w:highlight w:val="none"/>
              </w:rPr>
            </w:pPr>
            <w:r>
              <w:rPr>
                <w:rFonts w:ascii="宋体" w:hAnsi="宋体" w:eastAsia="宋体" w:cs="宋体"/>
                <w:color w:val="auto"/>
                <w:highlight w:val="none"/>
              </w:rPr>
              <w:t xml:space="preserve">2、项目服务人员需签署相关保密协议，承担工作中接触相关内容的保密义务；</w:t>
            </w:r>
            <w:r/>
          </w:p>
          <w:p>
            <w:pPr>
              <w:pStyle w:val="938"/>
              <w:rPr>
                <w:rFonts w:ascii="宋体" w:hAnsi="宋体" w:eastAsia="宋体" w:cs="宋体"/>
                <w:color w:val="auto"/>
                <w:highlight w:val="none"/>
              </w:rPr>
            </w:pPr>
            <w:r>
              <w:rPr>
                <w:rFonts w:ascii="宋体" w:hAnsi="宋体" w:eastAsia="宋体" w:cs="宋体"/>
                <w:color w:val="auto"/>
                <w:highlight w:val="none"/>
              </w:rPr>
              <w:t xml:space="preserve">3、项目成果最终所有权属招标单位，在项目完成时中标单位必须全部移交；</w:t>
            </w:r>
            <w:r/>
          </w:p>
          <w:p>
            <w:pPr>
              <w:pStyle w:val="938"/>
              <w:rPr>
                <w:rFonts w:ascii="宋体" w:hAnsi="宋体" w:eastAsia="宋体" w:cs="宋体"/>
                <w:color w:val="auto"/>
                <w:highlight w:val="none"/>
              </w:rPr>
            </w:pPr>
            <w:r>
              <w:rPr>
                <w:rFonts w:ascii="宋体" w:hAnsi="宋体" w:eastAsia="宋体" w:cs="宋体"/>
                <w:color w:val="auto"/>
                <w:highlight w:val="none"/>
              </w:rPr>
              <w:t xml:space="preserve">4、中标单位须维护项目服务成果，不得转让给第三方重复使用。</w:t>
            </w:r>
            <w:r/>
          </w:p>
          <w:p>
            <w:pPr>
              <w:pStyle w:val="938"/>
              <w:rPr>
                <w:rFonts w:ascii="宋体" w:hAnsi="宋体" w:eastAsia="宋体" w:cs="宋体"/>
                <w:color w:val="auto"/>
                <w:highlight w:val="none"/>
              </w:rPr>
            </w:pPr>
            <w:r>
              <w:rPr>
                <w:rFonts w:ascii="宋体" w:hAnsi="宋体" w:eastAsia="宋体" w:cs="宋体"/>
                <w:color w:val="auto"/>
                <w:highlight w:val="none"/>
              </w:rPr>
              <w:t xml:space="preserve">5、以上保密规定如有违反，招标单位有权追究中标单位相关法律责任。</w:t>
            </w:r>
            <w:r/>
          </w:p>
        </w:tc>
      </w:tr>
      <w:tr>
        <w:trPr/>
        <w:tc>
          <w:tcPr>
            <w:tcBorders>
              <w:top w:val="single" w:color="000000" w:sz="2" w:space="0"/>
              <w:left w:val="single" w:color="000000" w:sz="2" w:space="0"/>
              <w:right w:val="single" w:color="000000" w:sz="2" w:space="0"/>
            </w:tcBorders>
            <w:tcMar>
              <w:top w:w="100" w:type="dxa"/>
              <w:bottom w:w="100" w:type="dxa"/>
            </w:tcMar>
            <w:tcW w:w="558" w:type="dxa"/>
            <w:vAlign w:val="center"/>
            <w:vMerge w:val="restart"/>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t xml:space="preserve">9</w:t>
            </w:r>
            <w:r/>
          </w:p>
        </w:tc>
        <w:tc>
          <w:tcPr>
            <w:tcBorders>
              <w:top w:val="single" w:color="000000" w:sz="2" w:space="0"/>
              <w:left w:val="single" w:color="000000" w:sz="2" w:space="0"/>
              <w:right w:val="single" w:color="000000" w:sz="2" w:space="0"/>
            </w:tcBorders>
            <w:tcMar>
              <w:top w:w="100" w:type="dxa"/>
              <w:bottom w:w="100" w:type="dxa"/>
            </w:tcMar>
            <w:tcW w:w="1049" w:type="dxa"/>
            <w:vAlign w:val="center"/>
            <w:vMerge w:val="restart"/>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1.项目质量必须严格按照国家规范及江苏省、苏州市相应地方规范、招标文件的技术规范的有关要求执行，如果在合同履行过程中有新的国家或行业（部）规范和标准出台的，则中标人应确保其合同内容达到并符合新的国家或行业（部）规范和标准，因此而增加的费用及风险由中标人自行承担。</w:t>
            </w:r>
            <w:r/>
          </w:p>
        </w:tc>
      </w:tr>
      <w:tr>
        <w:trPr/>
        <w:tc>
          <w:tcPr>
            <w:tcBorders>
              <w:left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2.在项目实施期间中标人应遵守项目现场及采购人的各项规章制度。</w:t>
            </w:r>
            <w:r/>
          </w:p>
        </w:tc>
      </w:tr>
      <w:tr>
        <w:trPr/>
        <w:tc>
          <w:tcPr>
            <w:tcBorders>
              <w:left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3.中标人在项目实施期间应无条件的接受采购人的监督管理，提出的问题要及时整改。</w:t>
            </w:r>
            <w:r/>
          </w:p>
        </w:tc>
      </w:tr>
      <w:tr>
        <w:trPr/>
        <w:tc>
          <w:tcPr>
            <w:tcBorders>
              <w:left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4.中标人须按照招标要求和技术标准实施，不得擅自修改。</w:t>
            </w:r>
            <w:r/>
          </w:p>
        </w:tc>
      </w:tr>
      <w:tr>
        <w:trPr/>
        <w:tc>
          <w:tcPr>
            <w:tcBorders>
              <w:left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5.投标人必须对所提供服务等知识产权方面的一切产权关系负全部责任，由此而引起的法律纠纷以及费用投标人须全部承担。</w:t>
            </w:r>
            <w:r/>
          </w:p>
        </w:tc>
      </w:tr>
      <w:tr>
        <w:trPr/>
        <w:tc>
          <w:tcPr>
            <w:tcBorders>
              <w:left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t xml:space="preserve">6.与本项目有关的所有质量、安全问题均由中标人终身负责，如因上述原因造成的一切后果均由中标人自行承担，与他人无涉。</w:t>
            </w:r>
            <w:r/>
          </w:p>
        </w:tc>
      </w:tr>
      <w:tr>
        <w:trPr/>
        <w:tc>
          <w:tcPr>
            <w:tcBorders>
              <w:left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left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hint="eastAsia" w:ascii="宋体" w:hAnsi="宋体" w:eastAsia="宋体" w:cs="宋体"/>
                <w:color w:val="auto"/>
                <w:highlight w:val="none"/>
              </w:rPr>
              <w:t xml:space="preserve">7.中标人合理安排项目进度，并在投标文件中提供项目进度安排及保障措施。须按招标文件要求在规定时间内提交技术成果。</w:t>
            </w:r>
            <w:r/>
          </w:p>
        </w:tc>
      </w:tr>
      <w:tr>
        <w:trPr/>
        <w:tc>
          <w:tcPr>
            <w:tcBorders>
              <w:left w:val="single" w:color="000000" w:sz="2" w:space="0"/>
              <w:bottom w:val="single" w:color="000000" w:sz="2" w:space="0"/>
              <w:right w:val="single" w:color="000000" w:sz="2" w:space="0"/>
            </w:tcBorders>
            <w:tcMar>
              <w:top w:w="100" w:type="dxa"/>
              <w:bottom w:w="100" w:type="dxa"/>
            </w:tcMar>
            <w:tcW w:w="558" w:type="dxa"/>
            <w:vAlign w:val="center"/>
            <w:vMerge w:val="continue"/>
            <w:textDirection w:val="lrTb"/>
            <w:noWrap w:val="false"/>
          </w:tcPr>
          <w:p>
            <w:pPr>
              <w:pStyle w:val="938"/>
              <w:jc w:val="center"/>
              <w:rPr>
                <w:rFonts w:ascii="宋体" w:hAnsi="宋体" w:eastAsia="宋体" w:cs="宋体"/>
                <w:color w:val="auto"/>
                <w:highlight w:val="none"/>
              </w:rPr>
            </w:pPr>
            <w:r>
              <w:rPr>
                <w:rFonts w:ascii="宋体" w:hAnsi="宋体" w:eastAsia="宋体" w:cs="宋体"/>
                <w:color w:val="auto"/>
                <w:highlight w:val="none"/>
              </w:rPr>
            </w:r>
            <w:r/>
          </w:p>
        </w:tc>
        <w:tc>
          <w:tcPr>
            <w:tcBorders>
              <w:left w:val="single" w:color="000000" w:sz="2" w:space="0"/>
              <w:bottom w:val="single" w:color="000000" w:sz="2" w:space="0"/>
              <w:right w:val="single" w:color="000000" w:sz="2" w:space="0"/>
            </w:tcBorders>
            <w:tcMar>
              <w:top w:w="100" w:type="dxa"/>
              <w:bottom w:w="100" w:type="dxa"/>
            </w:tcMar>
            <w:tcW w:w="1049" w:type="dxa"/>
            <w:vAlign w:val="center"/>
            <w:vMerge w:val="continue"/>
            <w:textDirection w:val="lrTb"/>
            <w:noWrap w:val="false"/>
          </w:tcPr>
          <w:p>
            <w:pPr>
              <w:pStyle w:val="938"/>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355" w:type="dxa"/>
            <w:vAlign w:val="center"/>
            <w:textDirection w:val="lrTb"/>
            <w:noWrap w:val="false"/>
          </w:tcPr>
          <w:p>
            <w:pPr>
              <w:pStyle w:val="938"/>
              <w:rPr>
                <w:rFonts w:ascii="宋体" w:hAnsi="宋体" w:eastAsia="宋体" w:cs="宋体"/>
                <w:color w:val="auto"/>
                <w:highlight w:val="none"/>
              </w:rPr>
            </w:pPr>
            <w:r>
              <w:rPr>
                <w:rFonts w:hint="eastAsia" w:ascii="宋体" w:hAnsi="宋体" w:eastAsia="宋体" w:cs="宋体"/>
                <w:color w:val="auto"/>
                <w:highlight w:val="none"/>
              </w:rPr>
              <w:t xml:space="preserve">8.基于本项目跨度大且复杂，投标人需提供针对本项目重点难点分析及解决方案。</w:t>
            </w:r>
            <w:r/>
          </w:p>
        </w:tc>
      </w:tr>
    </w:tbl>
    <w:p>
      <w:pPr>
        <w:ind w:firstLine="482"/>
        <w:spacing w:before="120" w:after="12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三、商务条款 </w:t>
      </w:r>
      <w:r/>
    </w:p>
    <w:p>
      <w:pPr>
        <w:pStyle w:val="983"/>
        <w:ind w:firstLine="510"/>
        <w:spacing w:after="120" w:line="360" w:lineRule="auto"/>
        <w:rPr>
          <w:rFonts w:ascii="宋体" w:hAnsi="宋体" w:eastAsia="宋体" w:cs="宋体"/>
          <w:i/>
          <w:iCs/>
          <w:color w:val="auto"/>
          <w:spacing w:val="7"/>
          <w:highlight w:val="none"/>
          <w:u w:val="single"/>
        </w:rPr>
      </w:pPr>
      <w:r>
        <w:rPr>
          <w:rFonts w:ascii="宋体" w:hAnsi="宋体" w:eastAsia="宋体" w:cs="宋体"/>
          <w:b/>
          <w:bCs/>
          <w:i/>
          <w:iCs/>
          <w:color w:val="auto"/>
          <w:spacing w:val="7"/>
          <w:highlight w:val="none"/>
          <w:u w:val="single"/>
        </w:rPr>
        <w:t xml:space="preserve">1.服务期限</w:t>
      </w:r>
      <w:r>
        <w:rPr>
          <w:rFonts w:hint="eastAsia" w:ascii="宋体" w:hAnsi="宋体" w:eastAsia="宋体" w:cs="宋体"/>
          <w:b/>
          <w:bCs/>
          <w:i/>
          <w:iCs/>
          <w:color w:val="auto"/>
          <w:spacing w:val="7"/>
          <w:highlight w:val="none"/>
          <w:u w:val="single"/>
        </w:rPr>
        <w:t xml:space="preserve">：</w:t>
      </w:r>
      <w:r>
        <w:rPr>
          <w:rFonts w:ascii="宋体" w:hAnsi="宋体" w:eastAsia="宋体" w:cs="宋体"/>
          <w:i/>
          <w:iCs/>
          <w:color w:val="auto"/>
          <w:spacing w:val="7"/>
          <w:highlight w:val="none"/>
          <w:u w:val="single"/>
        </w:rPr>
        <w:t xml:space="preserve">202</w:t>
      </w:r>
      <w:r>
        <w:rPr>
          <w:rFonts w:hint="eastAsia" w:ascii="宋体" w:hAnsi="宋体" w:eastAsia="宋体" w:cs="宋体"/>
          <w:i/>
          <w:iCs/>
          <w:color w:val="auto"/>
          <w:spacing w:val="7"/>
          <w:highlight w:val="none"/>
          <w:u w:val="single"/>
        </w:rPr>
        <w:t xml:space="preserve">9</w:t>
      </w:r>
      <w:r>
        <w:rPr>
          <w:rFonts w:ascii="宋体" w:hAnsi="宋体" w:eastAsia="宋体" w:cs="宋体"/>
          <w:i/>
          <w:iCs/>
          <w:color w:val="auto"/>
          <w:spacing w:val="7"/>
          <w:highlight w:val="none"/>
          <w:u w:val="single"/>
        </w:rPr>
        <w:t xml:space="preserve">年</w:t>
      </w:r>
      <w:r>
        <w:rPr>
          <w:rFonts w:hint="eastAsia" w:ascii="宋体" w:hAnsi="宋体" w:eastAsia="宋体" w:cs="宋体"/>
          <w:i/>
          <w:iCs/>
          <w:color w:val="auto"/>
          <w:spacing w:val="7"/>
          <w:highlight w:val="none"/>
          <w:u w:val="single"/>
        </w:rPr>
        <w:t xml:space="preserve">6</w:t>
      </w:r>
      <w:r>
        <w:rPr>
          <w:rFonts w:ascii="宋体" w:hAnsi="宋体" w:eastAsia="宋体" w:cs="宋体"/>
          <w:i/>
          <w:iCs/>
          <w:color w:val="auto"/>
          <w:spacing w:val="7"/>
          <w:highlight w:val="none"/>
          <w:u w:val="single"/>
        </w:rPr>
        <w:t xml:space="preserve">月3</w:t>
      </w:r>
      <w:r>
        <w:rPr>
          <w:rFonts w:hint="eastAsia" w:ascii="宋体" w:hAnsi="宋体" w:eastAsia="宋体" w:cs="宋体"/>
          <w:i/>
          <w:iCs/>
          <w:color w:val="auto"/>
          <w:spacing w:val="7"/>
          <w:highlight w:val="none"/>
          <w:u w:val="single"/>
        </w:rPr>
        <w:t xml:space="preserve">0</w:t>
      </w:r>
      <w:r>
        <w:rPr>
          <w:rFonts w:ascii="宋体" w:hAnsi="宋体" w:eastAsia="宋体" w:cs="宋体"/>
          <w:i/>
          <w:iCs/>
          <w:color w:val="auto"/>
          <w:spacing w:val="7"/>
          <w:highlight w:val="none"/>
          <w:u w:val="single"/>
        </w:rPr>
        <w:t xml:space="preserve">日前完成。</w:t>
      </w:r>
      <w:r/>
    </w:p>
    <w:p>
      <w:pPr>
        <w:pStyle w:val="983"/>
        <w:ind w:firstLine="510"/>
        <w:spacing w:after="120" w:line="360" w:lineRule="auto"/>
        <w:rPr>
          <w:rFonts w:ascii="宋体" w:hAnsi="宋体" w:eastAsia="宋体" w:cs="宋体"/>
          <w:b/>
          <w:i/>
          <w:iCs/>
          <w:color w:val="auto"/>
          <w:spacing w:val="7"/>
          <w:highlight w:val="none"/>
        </w:rPr>
      </w:pPr>
      <w:r>
        <w:rPr>
          <w:rFonts w:ascii="宋体" w:hAnsi="宋体" w:eastAsia="宋体" w:cs="宋体"/>
          <w:b/>
          <w:i/>
          <w:iCs/>
          <w:color w:val="auto"/>
          <w:spacing w:val="7"/>
          <w:highlight w:val="none"/>
        </w:rPr>
        <w:t xml:space="preserve">2</w:t>
      </w:r>
      <w:r>
        <w:rPr>
          <w:rFonts w:hint="eastAsia" w:ascii="宋体" w:hAnsi="宋体" w:eastAsia="宋体" w:cs="宋体"/>
          <w:b/>
          <w:i/>
          <w:iCs/>
          <w:color w:val="auto"/>
          <w:spacing w:val="7"/>
          <w:highlight w:val="none"/>
        </w:rPr>
        <w:t xml:space="preserve">.</w:t>
      </w:r>
      <w:r>
        <w:rPr>
          <w:rFonts w:ascii="宋体" w:hAnsi="宋体" w:eastAsia="宋体" w:cs="宋体"/>
          <w:b/>
          <w:i/>
          <w:iCs/>
          <w:color w:val="auto"/>
          <w:spacing w:val="7"/>
          <w:highlight w:val="none"/>
        </w:rPr>
        <w:t xml:space="preserve">货款支付</w:t>
      </w:r>
      <w:r/>
    </w:p>
    <w:p>
      <w:pPr>
        <w:pStyle w:val="983"/>
        <w:ind w:firstLine="508"/>
        <w:spacing w:after="120" w:line="360" w:lineRule="auto"/>
        <w:rPr>
          <w:rFonts w:ascii="宋体" w:hAnsi="宋体" w:eastAsia="宋体" w:cs="宋体"/>
          <w:i/>
          <w:iCs/>
          <w:color w:val="auto"/>
          <w:spacing w:val="7"/>
          <w:highlight w:val="none"/>
          <w:u w:val="single"/>
        </w:rPr>
      </w:pPr>
      <w:r>
        <w:rPr>
          <w:rFonts w:ascii="宋体" w:hAnsi="宋体" w:eastAsia="宋体" w:cs="宋体"/>
          <w:i/>
          <w:iCs/>
          <w:color w:val="auto"/>
          <w:spacing w:val="7"/>
          <w:highlight w:val="none"/>
          <w:u w:val="single"/>
        </w:rPr>
        <w:t xml:space="preserve">2.1结付程序</w:t>
      </w:r>
      <w:r>
        <w:rPr>
          <w:rFonts w:hint="eastAsia" w:ascii="宋体" w:hAnsi="宋体" w:eastAsia="宋体" w:cs="宋体"/>
          <w:i/>
          <w:iCs/>
          <w:color w:val="auto"/>
          <w:spacing w:val="7"/>
          <w:highlight w:val="none"/>
          <w:u w:val="single"/>
        </w:rPr>
        <w:t xml:space="preserve">：</w:t>
      </w:r>
      <w:r>
        <w:rPr>
          <w:rFonts w:ascii="宋体" w:hAnsi="宋体" w:eastAsia="宋体" w:cs="宋体"/>
          <w:i/>
          <w:iCs/>
          <w:color w:val="auto"/>
          <w:spacing w:val="7"/>
          <w:highlight w:val="none"/>
          <w:u w:val="single"/>
        </w:rPr>
        <w:t xml:space="preserve">供方按本合同内容合格地履行服务后，按相关规定到采购单位办理合同款结算手续。</w:t>
      </w:r>
      <w:r/>
    </w:p>
    <w:p>
      <w:pPr>
        <w:pStyle w:val="983"/>
        <w:ind w:firstLine="508"/>
        <w:spacing w:after="120" w:line="360" w:lineRule="auto"/>
        <w:rPr>
          <w:rFonts w:ascii="宋体" w:hAnsi="宋体" w:eastAsia="宋体" w:cs="宋体"/>
          <w:i/>
          <w:iCs/>
          <w:color w:val="auto"/>
          <w:spacing w:val="7"/>
          <w:highlight w:val="none"/>
          <w:u w:val="single"/>
        </w:rPr>
      </w:pPr>
      <w:r>
        <w:rPr>
          <w:rFonts w:ascii="宋体" w:hAnsi="宋体" w:eastAsia="宋体" w:cs="宋体"/>
          <w:i/>
          <w:iCs/>
          <w:color w:val="auto"/>
          <w:spacing w:val="7"/>
          <w:highlight w:val="none"/>
          <w:u w:val="single"/>
        </w:rPr>
        <w:t xml:space="preserve">2.2结付期限</w:t>
      </w:r>
      <w:r>
        <w:rPr>
          <w:rFonts w:hint="eastAsia" w:ascii="宋体" w:hAnsi="宋体" w:eastAsia="宋体" w:cs="宋体"/>
          <w:i/>
          <w:iCs/>
          <w:color w:val="auto"/>
          <w:spacing w:val="7"/>
          <w:highlight w:val="none"/>
          <w:u w:val="single"/>
        </w:rPr>
        <w:t xml:space="preserve">：</w:t>
      </w:r>
      <w:r/>
    </w:p>
    <w:p>
      <w:pPr>
        <w:pStyle w:val="983"/>
        <w:ind w:firstLine="508"/>
        <w:spacing w:after="120" w:line="360" w:lineRule="auto"/>
        <w:rPr>
          <w:rFonts w:ascii="宋体" w:hAnsi="宋体" w:eastAsia="宋体" w:cs="宋体"/>
          <w:i/>
          <w:iCs/>
          <w:color w:val="auto"/>
          <w:spacing w:val="7"/>
          <w:highlight w:val="none"/>
          <w:u w:val="single"/>
        </w:rPr>
      </w:pPr>
      <w:r>
        <w:rPr>
          <w:rFonts w:ascii="宋体" w:hAnsi="宋体" w:eastAsia="宋体" w:cs="宋体"/>
          <w:i/>
          <w:iCs/>
          <w:color w:val="auto"/>
          <w:spacing w:val="7"/>
          <w:highlight w:val="none"/>
          <w:u w:val="single"/>
        </w:rPr>
        <w:t xml:space="preserve">（1）签订合同后支付合同价款的20%</w:t>
      </w:r>
      <w:r>
        <w:rPr>
          <w:rFonts w:hint="eastAsia" w:ascii="宋体" w:hAnsi="宋体" w:eastAsia="宋体" w:cs="宋体"/>
          <w:i/>
          <w:iCs/>
          <w:color w:val="auto"/>
          <w:spacing w:val="7"/>
          <w:highlight w:val="none"/>
          <w:u w:val="single"/>
        </w:rPr>
        <w:t xml:space="preserve">作为预付款</w:t>
      </w:r>
      <w:r>
        <w:rPr>
          <w:rFonts w:ascii="宋体" w:hAnsi="宋体" w:eastAsia="宋体" w:cs="宋体"/>
          <w:i/>
          <w:iCs/>
          <w:color w:val="auto"/>
          <w:spacing w:val="7"/>
          <w:highlight w:val="none"/>
          <w:u w:val="single"/>
        </w:rPr>
        <w:t xml:space="preserve">；</w:t>
      </w:r>
      <w:r/>
    </w:p>
    <w:p>
      <w:pPr>
        <w:pStyle w:val="983"/>
        <w:ind w:firstLine="508"/>
        <w:spacing w:after="120" w:line="360" w:lineRule="auto"/>
        <w:rPr>
          <w:rFonts w:ascii="宋体" w:hAnsi="宋体" w:eastAsia="宋体" w:cs="宋体"/>
          <w:i/>
          <w:iCs/>
          <w:color w:val="auto"/>
          <w:spacing w:val="7"/>
          <w:highlight w:val="none"/>
          <w:u w:val="single"/>
        </w:rPr>
      </w:pPr>
      <w:r>
        <w:rPr>
          <w:rFonts w:ascii="宋体" w:hAnsi="宋体" w:eastAsia="宋体" w:cs="宋体"/>
          <w:i/>
          <w:iCs/>
          <w:color w:val="auto"/>
          <w:spacing w:val="7"/>
          <w:highlight w:val="none"/>
          <w:u w:val="single"/>
        </w:rPr>
        <w:t xml:space="preserve">（2）202</w:t>
      </w:r>
      <w:r>
        <w:rPr>
          <w:rFonts w:hint="eastAsia" w:ascii="宋体" w:hAnsi="宋体" w:eastAsia="宋体" w:cs="宋体"/>
          <w:i/>
          <w:iCs/>
          <w:color w:val="auto"/>
          <w:spacing w:val="7"/>
          <w:highlight w:val="none"/>
          <w:u w:val="single"/>
        </w:rPr>
        <w:t xml:space="preserve">7</w:t>
      </w:r>
      <w:r>
        <w:rPr>
          <w:rFonts w:ascii="宋体" w:hAnsi="宋体" w:eastAsia="宋体" w:cs="宋体"/>
          <w:i/>
          <w:iCs/>
          <w:color w:val="auto"/>
          <w:spacing w:val="7"/>
          <w:highlight w:val="none"/>
          <w:u w:val="single"/>
        </w:rPr>
        <w:t xml:space="preserve">年6月30日之前，完成公示地价更新、202</w:t>
      </w:r>
      <w:r>
        <w:rPr>
          <w:rFonts w:hint="eastAsia" w:ascii="宋体" w:hAnsi="宋体" w:eastAsia="宋体" w:cs="宋体"/>
          <w:i/>
          <w:iCs/>
          <w:color w:val="auto"/>
          <w:spacing w:val="7"/>
          <w:highlight w:val="none"/>
          <w:u w:val="single"/>
        </w:rPr>
        <w:t xml:space="preserve">6</w:t>
      </w:r>
      <w:r>
        <w:rPr>
          <w:rFonts w:ascii="宋体" w:hAnsi="宋体" w:eastAsia="宋体" w:cs="宋体"/>
          <w:i/>
          <w:iCs/>
          <w:color w:val="auto"/>
          <w:spacing w:val="7"/>
          <w:highlight w:val="none"/>
          <w:u w:val="single"/>
        </w:rPr>
        <w:t xml:space="preserve">年度标定地价更新和城镇地价动态监测工作，成果通过验收后，支付合同价款的30%；</w:t>
      </w:r>
      <w:r/>
    </w:p>
    <w:p>
      <w:pPr>
        <w:pStyle w:val="983"/>
        <w:ind w:firstLine="508"/>
        <w:spacing w:after="120" w:line="360" w:lineRule="auto"/>
        <w:rPr>
          <w:rFonts w:ascii="宋体" w:hAnsi="宋体" w:eastAsia="宋体" w:cs="宋体"/>
          <w:i/>
          <w:iCs/>
          <w:color w:val="auto"/>
          <w:spacing w:val="7"/>
          <w:highlight w:val="none"/>
          <w:u w:val="single"/>
        </w:rPr>
      </w:pPr>
      <w:r>
        <w:rPr>
          <w:rFonts w:ascii="宋体" w:hAnsi="宋体" w:eastAsia="宋体" w:cs="宋体"/>
          <w:i/>
          <w:iCs/>
          <w:color w:val="auto"/>
          <w:spacing w:val="7"/>
          <w:highlight w:val="none"/>
          <w:u w:val="single"/>
        </w:rPr>
        <w:t xml:space="preserve">（3）202</w:t>
      </w:r>
      <w:r>
        <w:rPr>
          <w:rFonts w:hint="eastAsia" w:ascii="宋体" w:hAnsi="宋体" w:eastAsia="宋体" w:cs="宋体"/>
          <w:i/>
          <w:iCs/>
          <w:color w:val="auto"/>
          <w:spacing w:val="7"/>
          <w:highlight w:val="none"/>
          <w:u w:val="single"/>
        </w:rPr>
        <w:t xml:space="preserve">8</w:t>
      </w:r>
      <w:r>
        <w:rPr>
          <w:rFonts w:ascii="宋体" w:hAnsi="宋体" w:eastAsia="宋体" w:cs="宋体"/>
          <w:i/>
          <w:iCs/>
          <w:color w:val="auto"/>
          <w:spacing w:val="7"/>
          <w:highlight w:val="none"/>
          <w:u w:val="single"/>
        </w:rPr>
        <w:t xml:space="preserve">年6月30日之前，完成202</w:t>
      </w:r>
      <w:r>
        <w:rPr>
          <w:rFonts w:hint="eastAsia" w:ascii="宋体" w:hAnsi="宋体" w:eastAsia="宋体" w:cs="宋体"/>
          <w:i/>
          <w:iCs/>
          <w:color w:val="auto"/>
          <w:spacing w:val="7"/>
          <w:highlight w:val="none"/>
          <w:u w:val="single"/>
        </w:rPr>
        <w:t xml:space="preserve">7</w:t>
      </w:r>
      <w:r>
        <w:rPr>
          <w:rFonts w:ascii="宋体" w:hAnsi="宋体" w:eastAsia="宋体" w:cs="宋体"/>
          <w:i/>
          <w:iCs/>
          <w:color w:val="auto"/>
          <w:spacing w:val="7"/>
          <w:highlight w:val="none"/>
          <w:u w:val="single"/>
        </w:rPr>
        <w:t xml:space="preserve">年标定地价更新和城镇地价动态监测工作，成果通过验收后，支付合同价款的30%；</w:t>
      </w:r>
      <w:r/>
    </w:p>
    <w:p>
      <w:pPr>
        <w:pStyle w:val="983"/>
        <w:ind w:firstLine="508"/>
        <w:spacing w:after="120" w:line="360" w:lineRule="auto"/>
        <w:rPr>
          <w:rFonts w:ascii="宋体" w:hAnsi="宋体" w:eastAsia="宋体" w:cs="宋体"/>
          <w:i/>
          <w:iCs/>
          <w:color w:val="auto"/>
          <w:spacing w:val="7"/>
          <w:highlight w:val="none"/>
          <w:u w:val="single"/>
        </w:rPr>
      </w:pPr>
      <w:r>
        <w:rPr>
          <w:rFonts w:ascii="宋体" w:hAnsi="宋体" w:eastAsia="宋体" w:cs="宋体"/>
          <w:i/>
          <w:iCs/>
          <w:color w:val="auto"/>
          <w:spacing w:val="7"/>
          <w:highlight w:val="none"/>
          <w:u w:val="single"/>
        </w:rPr>
        <w:t xml:space="preserve">（4）202</w:t>
      </w:r>
      <w:r>
        <w:rPr>
          <w:rFonts w:hint="eastAsia" w:ascii="宋体" w:hAnsi="宋体" w:eastAsia="宋体" w:cs="宋体"/>
          <w:i/>
          <w:iCs/>
          <w:color w:val="auto"/>
          <w:spacing w:val="7"/>
          <w:highlight w:val="none"/>
          <w:u w:val="single"/>
        </w:rPr>
        <w:t xml:space="preserve">9</w:t>
      </w:r>
      <w:r>
        <w:rPr>
          <w:rFonts w:ascii="宋体" w:hAnsi="宋体" w:eastAsia="宋体" w:cs="宋体"/>
          <w:i/>
          <w:iCs/>
          <w:color w:val="auto"/>
          <w:spacing w:val="7"/>
          <w:highlight w:val="none"/>
          <w:u w:val="single"/>
        </w:rPr>
        <w:t xml:space="preserve">年6月30日之前，完成202</w:t>
      </w:r>
      <w:r>
        <w:rPr>
          <w:rFonts w:hint="eastAsia" w:ascii="宋体" w:hAnsi="宋体" w:eastAsia="宋体" w:cs="宋体"/>
          <w:i/>
          <w:iCs/>
          <w:color w:val="auto"/>
          <w:spacing w:val="7"/>
          <w:highlight w:val="none"/>
          <w:u w:val="single"/>
        </w:rPr>
        <w:t xml:space="preserve">8</w:t>
      </w:r>
      <w:r>
        <w:rPr>
          <w:rFonts w:ascii="宋体" w:hAnsi="宋体" w:eastAsia="宋体" w:cs="宋体"/>
          <w:i/>
          <w:iCs/>
          <w:color w:val="auto"/>
          <w:spacing w:val="7"/>
          <w:highlight w:val="none"/>
          <w:u w:val="single"/>
        </w:rPr>
        <w:t xml:space="preserve">年度标定地价更新和城镇地价动态监测工作工作，成果通过验收后支付剩余全部合同价款。</w:t>
      </w:r>
      <w:r/>
    </w:p>
    <w:p>
      <w:pPr>
        <w:pStyle w:val="983"/>
        <w:ind w:firstLine="510"/>
        <w:spacing w:after="120" w:line="360" w:lineRule="auto"/>
        <w:rPr>
          <w:rFonts w:ascii="宋体" w:hAnsi="宋体" w:eastAsia="宋体" w:cs="宋体"/>
          <w:i/>
          <w:iCs/>
          <w:color w:val="auto"/>
          <w:spacing w:val="7"/>
          <w:highlight w:val="none"/>
          <w:u w:val="single"/>
        </w:rPr>
      </w:pPr>
      <w:r>
        <w:rPr>
          <w:rFonts w:ascii="宋体" w:hAnsi="宋体" w:eastAsia="宋体" w:cs="宋体"/>
          <w:b/>
          <w:i/>
          <w:iCs/>
          <w:color w:val="auto"/>
          <w:spacing w:val="7"/>
          <w:highlight w:val="none"/>
        </w:rPr>
        <w:t xml:space="preserve">3</w:t>
      </w:r>
      <w:r>
        <w:rPr>
          <w:rFonts w:hint="eastAsia" w:ascii="宋体" w:hAnsi="宋体" w:eastAsia="宋体" w:cs="宋体"/>
          <w:b/>
          <w:i/>
          <w:iCs/>
          <w:color w:val="auto"/>
          <w:spacing w:val="7"/>
          <w:highlight w:val="none"/>
        </w:rPr>
        <w:t xml:space="preserve">.</w:t>
      </w:r>
      <w:r>
        <w:rPr>
          <w:rFonts w:ascii="宋体" w:hAnsi="宋体" w:eastAsia="宋体" w:cs="宋体"/>
          <w:b/>
          <w:i/>
          <w:iCs/>
          <w:color w:val="auto"/>
          <w:spacing w:val="7"/>
          <w:highlight w:val="none"/>
        </w:rPr>
        <w:t xml:space="preserve">投标货币</w:t>
      </w:r>
      <w:r>
        <w:rPr>
          <w:rFonts w:hint="eastAsia" w:ascii="宋体" w:hAnsi="宋体" w:eastAsia="宋体" w:cs="宋体"/>
          <w:b/>
          <w:i/>
          <w:iCs/>
          <w:color w:val="auto"/>
          <w:spacing w:val="7"/>
          <w:highlight w:val="none"/>
        </w:rPr>
        <w:t xml:space="preserve">：</w:t>
      </w:r>
      <w:r>
        <w:rPr>
          <w:rFonts w:ascii="宋体" w:hAnsi="宋体" w:eastAsia="宋体" w:cs="宋体"/>
          <w:i/>
          <w:iCs/>
          <w:color w:val="auto"/>
          <w:spacing w:val="7"/>
          <w:highlight w:val="none"/>
          <w:u w:val="single"/>
        </w:rPr>
        <w:t xml:space="preserve">人民币</w:t>
      </w:r>
      <w:r/>
    </w:p>
    <w:p>
      <w:pPr>
        <w:pStyle w:val="930"/>
        <w:pageBreakBefore/>
        <w:spacing w:line="360" w:lineRule="auto"/>
        <w:rPr>
          <w:rFonts w:ascii="宋体" w:hAnsi="宋体" w:eastAsia="宋体"/>
          <w:b w:val="0"/>
          <w:color w:val="auto"/>
          <w:sz w:val="36"/>
          <w:szCs w:val="36"/>
          <w:highlight w:val="none"/>
        </w:rPr>
      </w:pPr>
      <w:r/>
      <w:bookmarkStart w:id="147" w:name="EB46fc682c2c764bbdaed30f22794dcce7"/>
      <w:r/>
      <w:bookmarkEnd w:id="147"/>
      <w:r/>
      <w:bookmarkStart w:id="148" w:name="_Toc298"/>
      <w:r/>
      <w:bookmarkStart w:id="149" w:name="_Toc38368129"/>
      <w:r/>
      <w:bookmarkStart w:id="150" w:name="_Toc30296"/>
      <w:r/>
      <w:bookmarkStart w:id="151" w:name="_Toc17835"/>
      <w:r/>
      <w:bookmarkStart w:id="152" w:name="_Toc2883"/>
      <w:r/>
      <w:bookmarkStart w:id="153" w:name="_Toc18296"/>
      <w:r/>
      <w:bookmarkStart w:id="154" w:name="_Toc21662"/>
      <w:r/>
      <w:bookmarkStart w:id="155" w:name="_Toc35266029"/>
      <w:r/>
      <w:bookmarkStart w:id="156" w:name="_Toc54615247"/>
      <w:r/>
      <w:bookmarkStart w:id="157" w:name="_Toc11139"/>
      <w:r/>
      <w:bookmarkStart w:id="158" w:name="_Toc1739"/>
      <w:r/>
      <w:bookmarkStart w:id="159" w:name="_Toc26685"/>
      <w:r/>
      <w:bookmarkStart w:id="160" w:name="_Toc4602"/>
      <w:r/>
      <w:bookmarkStart w:id="161" w:name="_Toc26715"/>
      <w:r/>
      <w:bookmarkStart w:id="162" w:name="_Toc2834"/>
      <w:r/>
      <w:bookmarkStart w:id="163" w:name="_Toc10388"/>
      <w:r/>
      <w:bookmarkStart w:id="164" w:name="_Toc120614281"/>
      <w:r>
        <w:rPr>
          <w:rFonts w:hint="eastAsia" w:ascii="宋体" w:hAnsi="宋体" w:eastAsia="宋体"/>
          <w:color w:val="auto"/>
          <w:sz w:val="36"/>
          <w:szCs w:val="36"/>
          <w:highlight w:val="none"/>
        </w:rPr>
        <w:t xml:space="preserve">第五章 评标方法与评标标准</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pStyle w:val="919"/>
        <w:ind w:firstLine="480"/>
        <w:jc w:val="left"/>
        <w:spacing w:after="120" w:line="360" w:lineRule="auto"/>
        <w:rPr>
          <w:rStyle w:val="934"/>
          <w:rFonts w:ascii="宋体" w:hAnsi="宋体" w:cs="宋体"/>
          <w:b w:val="0"/>
          <w:bCs w:val="0"/>
          <w:color w:val="auto"/>
          <w:sz w:val="24"/>
          <w:szCs w:val="24"/>
          <w:highlight w:val="none"/>
        </w:rPr>
      </w:pPr>
      <w:r/>
      <w:bookmarkStart w:id="165" w:name="_Toc35266030"/>
      <w:r/>
      <w:bookmarkStart w:id="166" w:name="_Toc54615248"/>
      <w:r/>
      <w:bookmarkStart w:id="167" w:name="_Toc38368130"/>
      <w:r/>
      <w:bookmarkStart w:id="168" w:name="_Toc8905"/>
      <w:r>
        <w:rPr>
          <w:rStyle w:val="934"/>
          <w:rFonts w:hint="eastAsia" w:ascii="宋体" w:hAnsi="宋体" w:cs="宋体"/>
          <w:b w:val="0"/>
          <w:bCs w:val="0"/>
          <w:color w:val="auto"/>
          <w:sz w:val="24"/>
          <w:szCs w:val="24"/>
          <w:highlight w:val="none"/>
        </w:rPr>
        <w:t xml:space="preserve">一、评标方法与定标原则</w:t>
      </w:r>
      <w:bookmarkEnd w:id="165"/>
      <w:r/>
      <w:bookmarkEnd w:id="166"/>
      <w:r/>
      <w:bookmarkEnd w:id="167"/>
      <w:r/>
      <w:bookmarkEnd w:id="168"/>
      <w:r/>
      <w:r/>
    </w:p>
    <w:p>
      <w:pPr>
        <w:pStyle w:val="984"/>
        <w:ind w:firstLine="508"/>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1.评标采用综合评分法，评标结果按评审后得分由高到低顺序排列。得分相同的，按投标报价由低到高顺序排列。得分且投标报价相同的并列，抽签确定中标候选人。</w:t>
      </w:r>
      <w:r>
        <w:rPr>
          <w:rFonts w:hint="eastAsia" w:ascii="宋体" w:hAnsi="宋体" w:eastAsia="宋体" w:cs="宋体"/>
          <w:color w:val="auto"/>
          <w:spacing w:val="7"/>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rFonts w:hint="eastAsia" w:ascii="宋体" w:hAnsi="宋体" w:eastAsia="宋体" w:cs="宋体"/>
          <w:color w:val="auto"/>
          <w:spacing w:val="7"/>
          <w:highlight w:val="none"/>
        </w:rPr>
        <w:t xml:space="preserve">。</w:t>
      </w:r>
      <w:r/>
    </w:p>
    <w:p>
      <w:pPr>
        <w:pStyle w:val="984"/>
        <w:ind w:firstLine="508"/>
        <w:spacing w:after="120" w:line="360" w:lineRule="auto"/>
        <w:rPr>
          <w:rFonts w:ascii="宋体" w:hAnsi="宋体" w:eastAsia="宋体" w:cs="宋体"/>
          <w:color w:val="auto"/>
          <w:spacing w:val="7"/>
          <w:highlight w:val="none"/>
        </w:rPr>
        <w:outlineLvl w:val="1"/>
      </w:pPr>
      <w:r/>
      <w:bookmarkStart w:id="169" w:name="_Toc54615249"/>
      <w:r/>
      <w:bookmarkStart w:id="170" w:name="_Toc13502"/>
      <w:r/>
      <w:bookmarkStart w:id="171" w:name="_Toc35266031"/>
      <w:r/>
      <w:bookmarkStart w:id="172" w:name="_Toc38368131"/>
      <w:r>
        <w:rPr>
          <w:rFonts w:hint="eastAsia" w:ascii="宋体" w:hAnsi="宋体" w:eastAsia="宋体" w:cs="宋体"/>
          <w:color w:val="auto"/>
          <w:spacing w:val="7"/>
          <w:highlight w:val="none"/>
        </w:rPr>
        <w:t xml:space="preserve">二、评标标准</w:t>
      </w:r>
      <w:bookmarkEnd w:id="169"/>
      <w:r/>
      <w:bookmarkEnd w:id="170"/>
      <w:r/>
      <w:bookmarkEnd w:id="171"/>
      <w:r/>
      <w:bookmarkEnd w:id="172"/>
      <w:r/>
      <w:r/>
    </w:p>
    <w:p>
      <w:pPr>
        <w:pStyle w:val="960"/>
        <w:ind w:firstLine="510"/>
        <w:spacing w:after="120" w:line="360" w:lineRule="auto"/>
        <w:rPr>
          <w:rFonts w:ascii="宋体" w:hAnsi="宋体" w:eastAsia="宋体" w:cs="宋体"/>
          <w:b/>
          <w:bCs/>
          <w:color w:val="auto"/>
          <w:spacing w:val="7"/>
          <w:highlight w:val="none"/>
        </w:rPr>
        <w:outlineLvl w:val="2"/>
      </w:pPr>
      <w:r/>
      <w:bookmarkStart w:id="173" w:name="OLE_LINK13"/>
      <w:r>
        <w:rPr>
          <w:rFonts w:hint="eastAsia" w:ascii="宋体" w:hAnsi="宋体" w:eastAsia="宋体" w:cs="宋体"/>
          <w:b/>
          <w:bCs/>
          <w:color w:val="auto"/>
          <w:spacing w:val="7"/>
          <w:highlight w:val="none"/>
        </w:rPr>
        <w:t xml:space="preserve">（一）价格分【20分】</w:t>
      </w:r>
      <w:r/>
    </w:p>
    <w:p>
      <w:pPr>
        <w:pStyle w:val="960"/>
        <w:ind w:firstLine="508"/>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采用低价优先法计算，即满足招标文件要求且投标总报价最低的投标价为评标基准价，其价格分为满分20分。其他投标人的价格分统一按照下列公式计算：</w:t>
      </w:r>
      <w:r/>
    </w:p>
    <w:p>
      <w:pPr>
        <w:pStyle w:val="960"/>
        <w:ind w:firstLine="508"/>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投标报价得分=（评标基准价/投标报价）*20%*100（保留二位小数）。</w:t>
      </w:r>
      <w:bookmarkEnd w:id="173"/>
      <w:r/>
      <w:r/>
    </w:p>
    <w:p>
      <w:pPr>
        <w:pStyle w:val="978"/>
        <w:ind w:firstLine="510"/>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（二）服务方案39分</w:t>
      </w:r>
      <w:r/>
    </w:p>
    <w:p>
      <w:pPr>
        <w:pStyle w:val="978"/>
        <w:ind w:firstLine="510"/>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2.1基准地价更新服务方案8分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根据投标单位针对本项目提供的基准地价更新服务方案（</w:t>
      </w:r>
      <w:r>
        <w:rPr>
          <w:rFonts w:hint="eastAsia" w:ascii="宋体" w:hAnsi="宋体" w:eastAsia="宋体" w:cs="宋体"/>
          <w:b w:val="0"/>
          <w:bCs w:val="0"/>
          <w:color w:val="auto"/>
          <w:spacing w:val="7"/>
          <w:highlight w:val="none"/>
        </w:rPr>
        <w:t xml:space="preserve">方案内容包括但不限于集体建设用地基准地价更新、农用地基准地价更新城镇建设用地基准地价更新等内容）</w:t>
      </w:r>
      <w:r>
        <w:rPr>
          <w:rFonts w:hint="eastAsia" w:ascii="宋体" w:hAnsi="宋体" w:eastAsia="宋体" w:cs="宋体"/>
          <w:color w:val="auto"/>
          <w:spacing w:val="7"/>
          <w:highlight w:val="none"/>
        </w:rPr>
        <w:t xml:space="preserve">进行综合评审。方案完全包含上述内容且完全满足项目实际需求的得8分；方案内有部分内容缺少或小部分内容无实质性意义的，得5分；方案内容简略且大部分内容无实质性意义的得2分，未提供方案说明的不得分。</w:t>
      </w:r>
      <w:r/>
    </w:p>
    <w:p>
      <w:pPr>
        <w:pStyle w:val="978"/>
        <w:ind w:firstLine="510"/>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2.1标定地价更新和城镇地价动态监测服务方案7分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color w:val="auto"/>
          <w:spacing w:val="7"/>
          <w:highlight w:val="none"/>
        </w:rPr>
        <w:t xml:space="preserve">根据投标单位针对本项目提供的标定地价更新和城镇地价动态监测服务方案（方案内容包括但不限于城市地价动态监测、标定地价体系更新等内容）进行综合评审。方案完全包含上述内容且完全满足项目实际需求的得7分；方案内有部分内容缺少或小部分内容无实质性意义的，得4分；方案内容简略且大部分内容无实质性意义的得1分，未提供方案说明的不得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2.3项目重点难点分析解决方案6分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单位针对本项目提供的项目重点难点分析解决方案（方案内容包括但不限于对本项目的理解、重点难点分析及预防措施及解决方案等方面）进行综合评审。方案完全包含以上内容且完全满足项目实际需求的得6分；方案内有部分内容缺少或小部分内容无实质性意义的，得3分；方案内容简略且大部分内容无实质性意义的得1分，未提供方案说明的不得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2.4项目进度安排及保障措施6分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单位针对本项目提供的项目进度安排及保障措施（方案内容包括但不限于进度计划安排、保障措施等方面）进行综合评审。方案完全包含上述内容且完全满足项目实际需求的得6分；方案内有部分内容缺少或小部分内容无实质性意义的，得3分；方案内容简略且大部分内容无实质性意义的得1分，未提供方案说明的不得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2.5质量保证措施6分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单位针对本项目提供的质量保证措施（方案内容包括但不限于质量管理、质量保障等方面）进行综合评审。方案完全包含上述内容且完全满足项目实际需求的得6分；方案内有部分内容缺少或小部分内容无实质性意义的，得3分；方案内容简略且大部分内容无实质性意义的得1分，未提供方案说明的不得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2.7数据保密措施6分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根据投标单位针对本项目提供的数据保密措施（方案内容包括但不限于建立数据保密制度及制定数据保密规范等方面）进行综合评审。方案完全包含上述内容且完全满足项目实际需求的得6分；方案内有部分内容缺少或小部分内容无实质性意义的，得3分；方案内容简略且大部分内容无实质性意义的得1分，未提供方案说明的不得分。</w:t>
      </w:r>
      <w:r/>
    </w:p>
    <w:p>
      <w:pPr>
        <w:pStyle w:val="978"/>
        <w:ind w:firstLine="499"/>
        <w:spacing w:after="120"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3、人员配置 22分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3.1.拟投入本项目的项目负责人2分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拟投入本项目的项目负责人具备土地相关专业高级技术职称</w:t>
      </w:r>
      <w:r>
        <w:rPr>
          <w:rFonts w:hint="eastAsia" w:ascii="宋体" w:hAnsi="宋体" w:eastAsia="宋体" w:cs="宋体"/>
          <w:color w:val="auto"/>
          <w:spacing w:val="7"/>
          <w:highlight w:val="none"/>
          <w:lang w:val="en-US" w:eastAsia="zh-CN"/>
        </w:rPr>
        <w:t xml:space="preserve">或</w:t>
      </w:r>
      <w:r>
        <w:rPr>
          <w:rFonts w:hint="eastAsia" w:ascii="宋体" w:hAnsi="宋体" w:eastAsia="宋体" w:cs="宋体"/>
          <w:color w:val="auto"/>
          <w:highlight w:val="none"/>
        </w:rPr>
        <w:t xml:space="preserve">‌房地产估价师职业资格</w:t>
      </w:r>
      <w:r>
        <w:rPr>
          <w:rFonts w:hint="eastAsia" w:ascii="宋体" w:hAnsi="宋体" w:eastAsia="宋体" w:cs="宋体"/>
          <w:color w:val="auto"/>
          <w:spacing w:val="7"/>
          <w:highlight w:val="none"/>
        </w:rPr>
        <w:t xml:space="preserve">‌的，每提供1份得1分，本项最高2分【请在投标文件中提供相关证书扫描件及近期为该员工缴纳的社保证明材料扫描件，提供不全或未提供不得分】。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3.2.拟投入本项目的项目组成员（项目负责人除外）12分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拟投入本项目的项目组成员（项目负责人除外）具有</w:t>
      </w:r>
      <w:r>
        <w:rPr>
          <w:rFonts w:hint="eastAsia" w:ascii="宋体" w:hAnsi="宋体" w:eastAsia="宋体" w:cs="宋体"/>
          <w:color w:val="auto"/>
          <w:highlight w:val="none"/>
        </w:rPr>
        <w:t xml:space="preserve">‌房地产估价师职业资格</w:t>
      </w:r>
      <w:r>
        <w:rPr>
          <w:rFonts w:hint="eastAsia" w:ascii="宋体" w:hAnsi="宋体" w:eastAsia="宋体" w:cs="宋体"/>
          <w:color w:val="auto"/>
          <w:spacing w:val="7"/>
          <w:highlight w:val="none"/>
        </w:rPr>
        <w:t xml:space="preserve">的，每有1人得1分，本项最多得12分【请在投标文件中提供相关证书扫描件及近期为该员工缴纳的社保证明材料扫描件，提供不全或未提供不得分】。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3.3.项目组成员（项目负责人除外）的技术职称8分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拟投入本项目的项目组成员（项目负责人除外）具有高级技术职称（土地相关专业）的，有1人得1分，中级技术职称（土地相关专业）的，有1人得0.5分，本项最多得8分【请在投标文件中提供相关证书扫描件及近期为该员工缴纳的社保证明材料扫描件，提供不全或未提供不得分】。</w:t>
      </w:r>
      <w:r/>
    </w:p>
    <w:p>
      <w:pPr>
        <w:pStyle w:val="978"/>
        <w:ind w:firstLine="499"/>
        <w:spacing w:after="120"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4 履约能力分 19分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4.1.类似项目业绩15分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投标人自2023年以来（以签订合同日期为准）承担过的类似项目业绩的每提供一个得3分，同一地区不同年份按一个计，本项最高15分（请在投标文件中提供相关项目任务书或合同的扫描件，不提供不得分）。</w:t>
      </w:r>
      <w:r/>
    </w:p>
    <w:p>
      <w:pPr>
        <w:pStyle w:val="978"/>
        <w:ind w:firstLine="499"/>
        <w:spacing w:after="120" w:line="360" w:lineRule="auto"/>
        <w:rPr>
          <w:rFonts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4.3.投标人获得的证书4分</w:t>
      </w:r>
      <w:r/>
    </w:p>
    <w:p>
      <w:pPr>
        <w:pStyle w:val="978"/>
        <w:ind w:firstLine="499"/>
        <w:spacing w:after="120"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投标人具有在有效期内的质量管理体系认证、信息安全管理体系认证、环境管理体系认证、职业健康安全管理体系认证，有一个得1分，本项最高4分（请在投标文件中提供有效期内相关证书的扫描件，不提供不得分）。</w:t>
      </w:r>
      <w:r/>
    </w:p>
    <w:p>
      <w:pPr>
        <w:pStyle w:val="960"/>
        <w:ind w:firstLine="508"/>
        <w:spacing w:after="181" w:line="360" w:lineRule="auto"/>
        <w:rPr>
          <w:rFonts w:ascii="宋体" w:hAnsi="宋体" w:eastAsia="宋体" w:cs="宋体"/>
          <w:color w:val="auto"/>
          <w:spacing w:val="7"/>
          <w:highlight w:val="none"/>
        </w:rPr>
      </w:pPr>
      <w:r>
        <w:rPr>
          <w:rFonts w:ascii="宋体" w:hAnsi="宋体" w:eastAsia="宋体" w:cs="宋体"/>
          <w:color w:val="auto"/>
          <w:spacing w:val="7"/>
          <w:highlight w:val="none"/>
        </w:rPr>
      </w:r>
      <w:r/>
    </w:p>
    <w:p>
      <w:pPr>
        <w:pStyle w:val="960"/>
        <w:ind w:firstLine="508"/>
        <w:spacing w:after="181"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注:以上证明材料，不提供不得分。</w:t>
      </w:r>
      <w:bookmarkStart w:id="174" w:name="EBeb5e011c94484d45bc78085f792444b0"/>
      <w:r>
        <w:rPr>
          <w:rFonts w:hint="eastAsia" w:ascii="宋体" w:hAnsi="宋体" w:eastAsia="宋体" w:cs="宋体"/>
          <w:color w:val="auto"/>
          <w:spacing w:val="7"/>
          <w:highlight w:val="none"/>
        </w:rPr>
        <w:t xml:space="preserve"> </w:t>
      </w:r>
      <w:bookmarkEnd w:id="174"/>
      <w:r/>
      <w:r/>
    </w:p>
    <w:p>
      <w:pPr>
        <w:pStyle w:val="930"/>
        <w:pageBreakBefore/>
        <w:spacing w:line="360" w:lineRule="auto"/>
        <w:rPr>
          <w:rFonts w:ascii="宋体" w:hAnsi="宋体" w:eastAsia="宋体"/>
          <w:color w:val="auto"/>
          <w:highlight w:val="none"/>
        </w:rPr>
      </w:pPr>
      <w:r/>
      <w:bookmarkStart w:id="175" w:name="EB5eda7c9be7464788810dca94d24e634f"/>
      <w:r/>
      <w:bookmarkEnd w:id="175"/>
      <w:r/>
      <w:bookmarkStart w:id="176" w:name="_Toc23475"/>
      <w:r/>
      <w:bookmarkStart w:id="177" w:name="_Toc18317"/>
      <w:r/>
      <w:bookmarkStart w:id="178" w:name="_Toc16172"/>
      <w:r/>
      <w:bookmarkStart w:id="179" w:name="_Toc35266032"/>
      <w:r/>
      <w:bookmarkStart w:id="180" w:name="_Toc16796"/>
      <w:r/>
      <w:bookmarkStart w:id="181" w:name="_Toc10842"/>
      <w:r/>
      <w:bookmarkStart w:id="182" w:name="_Toc15600"/>
      <w:r/>
      <w:bookmarkStart w:id="183" w:name="_Toc6358"/>
      <w:r/>
      <w:bookmarkStart w:id="184" w:name="_Toc16915"/>
      <w:r/>
      <w:bookmarkStart w:id="185" w:name="_Toc1231"/>
      <w:r/>
      <w:bookmarkStart w:id="186" w:name="_Toc27212"/>
      <w:r/>
      <w:bookmarkStart w:id="187" w:name="_Toc8993"/>
      <w:r/>
      <w:bookmarkStart w:id="188" w:name="_Toc28128"/>
      <w:r/>
      <w:bookmarkStart w:id="189" w:name="_Toc54615250"/>
      <w:r/>
      <w:bookmarkStart w:id="190" w:name="_Toc38368132"/>
      <w:r/>
      <w:bookmarkStart w:id="191" w:name="_Toc11094"/>
      <w:r>
        <w:rPr>
          <w:rFonts w:hint="eastAsia" w:ascii="宋体" w:hAnsi="宋体" w:eastAsia="宋体"/>
          <w:color w:val="auto"/>
          <w:highlight w:val="none"/>
        </w:rPr>
        <w:t xml:space="preserve">第六章 投标</w:t>
      </w:r>
      <w:bookmarkEnd w:id="144"/>
      <w:r/>
      <w:bookmarkEnd w:id="145"/>
      <w:r/>
      <w:bookmarkEnd w:id="164"/>
      <w:r>
        <w:rPr>
          <w:rFonts w:hint="eastAsia" w:ascii="宋体" w:hAnsi="宋体" w:eastAsia="宋体"/>
          <w:color w:val="auto"/>
          <w:highlight w:val="none"/>
        </w:rPr>
        <w:t xml:space="preserve">文件格式</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pStyle w:val="986"/>
        <w:rPr>
          <w:color w:val="auto"/>
          <w:highlight w:val="none"/>
        </w:rPr>
        <w:outlineLvl w:val="1"/>
      </w:pPr>
      <w:r/>
      <w:bookmarkStart w:id="192" w:name="_Toc2969"/>
      <w:r/>
      <w:bookmarkStart w:id="193" w:name="_Toc26554094"/>
      <w:r/>
      <w:bookmarkStart w:id="194" w:name="_Hlt26955039"/>
      <w:r>
        <w:rPr>
          <w:rFonts w:ascii="宋体" w:hAnsi="宋体" w:eastAsia="宋体" w:cs="宋体"/>
          <w:b/>
          <w:color w:val="auto"/>
          <w:sz w:val="32"/>
          <w:highlight w:val="none"/>
        </w:rPr>
        <w:t xml:space="preserve">一、封面</w:t>
      </w:r>
      <w:bookmarkEnd w:id="192"/>
      <w:r/>
      <w:r/>
    </w:p>
    <w:p>
      <w:pPr>
        <w:pStyle w:val="991"/>
        <w:spacing w:line="440" w:lineRule="exact"/>
        <w:rPr>
          <w:color w:val="auto"/>
          <w:spacing w:val="7"/>
          <w:highlight w:val="none"/>
        </w:rPr>
      </w:pPr>
      <w:r>
        <w:rPr>
          <w:rFonts w:ascii="宋体" w:hAnsi="宋体" w:eastAsia="宋体" w:cs="宋体"/>
          <w:color w:val="auto"/>
          <w:highlight w:val="none"/>
        </w:rPr>
        <w:t xml:space="preserve">﻿ </w:t>
      </w:r>
      <w:r/>
    </w:p>
    <w:p>
      <w:pPr>
        <w:pStyle w:val="991"/>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99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91"/>
        <w:jc w:val="center"/>
        <w:spacing w:before="400" w:after="400"/>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 </w:t>
      </w:r>
      <w:r/>
    </w:p>
    <w:p>
      <w:pPr>
        <w:pStyle w:val="99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9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99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99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99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99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99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991"/>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991"/>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026"/>
        <w:pageBreakBefore/>
        <w:rPr>
          <w:color w:val="auto"/>
          <w:highlight w:val="none"/>
        </w:rPr>
        <w:outlineLvl w:val="1"/>
      </w:pPr>
      <w:r/>
      <w:bookmarkStart w:id="195" w:name="_Toc20314"/>
      <w:r>
        <w:rPr>
          <w:rFonts w:ascii="宋体" w:hAnsi="宋体" w:eastAsia="宋体" w:cs="宋体"/>
          <w:b/>
          <w:color w:val="auto"/>
          <w:sz w:val="32"/>
          <w:highlight w:val="none"/>
        </w:rPr>
        <w:t xml:space="preserve">二、投标函格式</w:t>
      </w:r>
      <w:bookmarkEnd w:id="195"/>
      <w:r/>
      <w:r/>
    </w:p>
    <w:p>
      <w:pPr>
        <w:pStyle w:val="1020"/>
        <w:spacing w:line="440" w:lineRule="exact"/>
        <w:rPr>
          <w:color w:val="auto"/>
          <w:spacing w:val="7"/>
          <w:highlight w:val="none"/>
        </w:rPr>
      </w:pPr>
      <w:r>
        <w:rPr>
          <w:rFonts w:ascii="宋体" w:hAnsi="宋体" w:eastAsia="宋体" w:cs="宋体"/>
          <w:color w:val="auto"/>
          <w:highlight w:val="none"/>
        </w:rPr>
        <w:t xml:space="preserve">﻿ </w:t>
      </w:r>
      <w:r/>
    </w:p>
    <w:p>
      <w:pPr>
        <w:pStyle w:val="1020"/>
        <w:jc w:val="center"/>
        <w:spacing w:before="320" w:after="320"/>
        <w:rPr>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t xml:space="preserve">投标函格式</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根据贵方的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号招标文件，正式授权下述签字人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(姓名和职务)代表我方</w:t>
      </w:r>
      <w:r>
        <w:rPr>
          <w:rFonts w:ascii="宋体" w:hAnsi="宋体" w:eastAsia="宋体" w:cs="宋体"/>
          <w:color w:val="auto"/>
          <w:highlight w:val="none"/>
          <w:u w:val="single"/>
        </w:rPr>
        <w:t xml:space="preserve">   （投标人的名称）</w:t>
      </w:r>
      <w:r>
        <w:rPr>
          <w:rFonts w:ascii="宋体" w:hAnsi="宋体" w:eastAsia="宋体" w:cs="宋体"/>
          <w:color w:val="auto"/>
          <w:highlight w:val="none"/>
        </w:rPr>
        <w:t xml:space="preserve">，全权处理本次项目投标的有关事宜。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1020"/>
        <w:ind w:firstLine="480"/>
        <w:spacing w:before="73" w:after="73" w:line="360" w:lineRule="auto"/>
        <w:rPr>
          <w:rFonts w:ascii="宋体" w:hAnsi="宋体" w:eastAsia="宋体" w:cs="宋体"/>
          <w:color w:val="auto"/>
          <w:highlight w:val="none"/>
        </w:rPr>
        <w:outlineLvl w:val="2"/>
      </w:pPr>
      <w:r>
        <w:rPr>
          <w:rFonts w:ascii="宋体" w:hAnsi="宋体" w:eastAsia="宋体" w:cs="宋体"/>
          <w:color w:val="auto"/>
          <w:highlight w:val="none"/>
        </w:rPr>
        <w:t xml:space="preserve">2、我们完全理解贵方不一定将合同授予最低报价的投标人；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020"/>
        <w:ind w:firstLine="480"/>
        <w:spacing w:before="73" w:after="73" w:line="360" w:lineRule="auto"/>
        <w:rPr>
          <w:rFonts w:ascii="宋体" w:hAnsi="宋体" w:eastAsia="宋体" w:cs="宋体"/>
          <w:color w:val="auto"/>
          <w:highlight w:val="none"/>
        </w:rPr>
        <w:outlineLvl w:val="2"/>
      </w:pPr>
      <w:r>
        <w:rPr>
          <w:rFonts w:ascii="宋体" w:hAnsi="宋体" w:eastAsia="宋体" w:cs="宋体"/>
          <w:color w:val="auto"/>
          <w:highlight w:val="none"/>
        </w:rPr>
        <w:t xml:space="preserve">5、与本投标有关的正式通讯地址为：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地址：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邮编：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电话：    </w:t>
      </w:r>
      <w:r/>
    </w:p>
    <w:p>
      <w:pPr>
        <w:pStyle w:val="1020"/>
        <w:ind w:firstLine="480"/>
        <w:spacing w:before="73" w:after="73" w:line="360" w:lineRule="auto"/>
        <w:rPr>
          <w:rFonts w:ascii="宋体" w:hAnsi="宋体" w:eastAsia="宋体" w:cs="宋体"/>
          <w:color w:val="auto"/>
          <w:highlight w:val="none"/>
        </w:rPr>
      </w:pPr>
      <w:r>
        <w:rPr>
          <w:rFonts w:hint="eastAsia" w:ascii="宋体" w:hAnsi="宋体" w:eastAsia="宋体" w:cs="宋体"/>
          <w:color w:val="auto"/>
          <w:highlight w:val="none"/>
        </w:rPr>
        <w:t xml:space="preserve">电子邮箱</w:t>
      </w:r>
      <w:r>
        <w:rPr>
          <w:rFonts w:ascii="宋体" w:hAnsi="宋体" w:eastAsia="宋体" w:cs="宋体"/>
          <w:color w:val="auto"/>
          <w:highlight w:val="none"/>
        </w:rPr>
        <w:t xml:space="preserve">：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公章：</w:t>
      </w:r>
      <w:r/>
    </w:p>
    <w:p>
      <w:pPr>
        <w:pStyle w:val="1020"/>
        <w:ind w:firstLine="480"/>
        <w:spacing w:before="73" w:after="73" w:line="360" w:lineRule="auto"/>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02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68"/>
        <w:pageBreakBefore/>
        <w:rPr>
          <w:color w:val="auto"/>
          <w:highlight w:val="none"/>
        </w:rPr>
        <w:outlineLvl w:val="1"/>
      </w:pPr>
      <w:r/>
      <w:bookmarkStart w:id="196" w:name="_Toc1130"/>
      <w:r>
        <w:rPr>
          <w:rFonts w:ascii="宋体" w:hAnsi="宋体" w:eastAsia="宋体" w:cs="宋体"/>
          <w:b/>
          <w:color w:val="auto"/>
          <w:sz w:val="32"/>
          <w:highlight w:val="none"/>
        </w:rPr>
        <w:t xml:space="preserve">三、开标一览表</w:t>
      </w:r>
      <w:bookmarkEnd w:id="196"/>
      <w:r/>
      <w:r/>
    </w:p>
    <w:p>
      <w:pPr>
        <w:pStyle w:val="952"/>
        <w:spacing w:line="440" w:lineRule="exact"/>
        <w:rPr>
          <w:color w:val="auto"/>
          <w:spacing w:val="7"/>
          <w:highlight w:val="none"/>
        </w:rPr>
      </w:pPr>
      <w:r>
        <w:rPr>
          <w:rFonts w:ascii="宋体" w:hAnsi="宋体" w:eastAsia="宋体" w:cs="宋体"/>
          <w:color w:val="auto"/>
          <w:highlight w:val="none"/>
        </w:rPr>
        <w:t xml:space="preserve">﻿ </w:t>
      </w:r>
      <w:r/>
    </w:p>
    <w:p>
      <w:pPr>
        <w:pStyle w:val="952"/>
        <w:jc w:val="center"/>
        <w:spacing w:before="400" w:after="400" w:line="300" w:lineRule="auto"/>
        <w:rPr>
          <w:rFonts w:ascii="宋体" w:hAnsi="宋体" w:eastAsia="宋体" w:cs="宋体"/>
          <w:b/>
          <w:bCs/>
          <w:color w:val="auto"/>
          <w:highlight w:val="none"/>
        </w:rPr>
        <w:outlineLvl w:val="2"/>
      </w:pPr>
      <w:r>
        <w:rPr>
          <w:rFonts w:hint="eastAsia" w:ascii="宋体" w:hAnsi="宋体" w:eastAsia="宋体" w:cs="宋体"/>
          <w:b/>
          <w:bCs/>
          <w:color w:val="auto"/>
          <w:highlight w:val="none"/>
        </w:rPr>
        <w:t xml:space="preserve">开标一览表(按系统格式）</w:t>
      </w:r>
      <w:r/>
    </w:p>
    <w:p>
      <w:pPr>
        <w:pStyle w:val="1017"/>
        <w:jc w:val="both"/>
        <w:rPr>
          <w:color w:val="auto"/>
          <w:highlight w:val="none"/>
        </w:rPr>
        <w:outlineLvl w:val="1"/>
      </w:pPr>
      <w:r/>
      <w:bookmarkStart w:id="197" w:name="_Toc1596"/>
      <w:r>
        <w:rPr>
          <w:rFonts w:hint="eastAsia"/>
          <w:color w:val="auto"/>
          <w:highlight w:val="none"/>
        </w:rPr>
        <w:t xml:space="preserve">投标单位（章）</w:t>
      </w:r>
      <w:bookmarkEnd w:id="197"/>
      <w:r>
        <w:rPr>
          <w:rFonts w:hint="eastAsia"/>
          <w:color w:val="auto"/>
          <w:highlight w:val="none"/>
        </w:rPr>
        <w:t xml:space="preserve">：                       </w:t>
      </w:r>
      <w:bookmarkStart w:id="198" w:name="_Toc15160"/>
      <w:r>
        <w:rPr>
          <w:rFonts w:hint="eastAsia"/>
          <w:color w:val="auto"/>
          <w:highlight w:val="none"/>
        </w:rPr>
        <w:t xml:space="preserve">                       单位：元</w:t>
      </w:r>
      <w:bookmarkEnd w:id="198"/>
      <w:r/>
      <w:r/>
    </w:p>
    <w:tbl>
      <w:tblPr>
        <w:tblStyle w:val="725"/>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04"/>
        <w:gridCol w:w="6758"/>
      </w:tblGrid>
      <w:tr>
        <w:trPr>
          <w:jc w:val="center"/>
          <w:trHeight w:val="806"/>
        </w:trPr>
        <w:tc>
          <w:tcPr>
            <w:tcW w:w="3204" w:type="dxa"/>
            <w:vAlign w:val="center"/>
            <w:textDirection w:val="lrTb"/>
            <w:noWrap w:val="false"/>
          </w:tcPr>
          <w:p>
            <w:pPr>
              <w:pStyle w:val="1017"/>
              <w:jc w:val="center"/>
              <w:rPr>
                <w:color w:val="auto"/>
                <w:highlight w:val="none"/>
              </w:rPr>
              <w:outlineLvl w:val="1"/>
            </w:pPr>
            <w:r>
              <w:rPr>
                <w:rFonts w:hint="eastAsia"/>
                <w:color w:val="auto"/>
                <w:highlight w:val="none"/>
              </w:rPr>
              <w:t xml:space="preserve">项目名称</w:t>
            </w:r>
            <w:r/>
          </w:p>
        </w:tc>
        <w:tc>
          <w:tcPr>
            <w:tcW w:w="6758" w:type="dxa"/>
            <w:vAlign w:val="center"/>
            <w:textDirection w:val="lrTb"/>
            <w:noWrap w:val="false"/>
          </w:tcPr>
          <w:p>
            <w:pPr>
              <w:pStyle w:val="1017"/>
              <w:jc w:val="center"/>
              <w:rPr>
                <w:color w:val="auto"/>
                <w:highlight w:val="none"/>
              </w:rPr>
            </w:pPr>
            <w:r>
              <w:rPr>
                <w:color w:val="auto"/>
                <w:highlight w:val="none"/>
              </w:rPr>
            </w:r>
            <w:r/>
          </w:p>
        </w:tc>
      </w:tr>
      <w:tr>
        <w:trPr>
          <w:jc w:val="center"/>
          <w:trHeight w:val="969"/>
        </w:trPr>
        <w:tc>
          <w:tcPr>
            <w:tcW w:w="3204" w:type="dxa"/>
            <w:vAlign w:val="center"/>
            <w:textDirection w:val="lrTb"/>
            <w:noWrap w:val="false"/>
          </w:tcPr>
          <w:p>
            <w:pPr>
              <w:pStyle w:val="1017"/>
              <w:jc w:val="center"/>
              <w:rPr>
                <w:color w:val="auto"/>
                <w:highlight w:val="none"/>
              </w:rPr>
              <w:outlineLvl w:val="1"/>
            </w:pPr>
            <w:r>
              <w:rPr>
                <w:rFonts w:hint="eastAsia"/>
                <w:color w:val="auto"/>
                <w:highlight w:val="none"/>
              </w:rPr>
              <w:t xml:space="preserve">报价</w:t>
            </w:r>
            <w:r/>
          </w:p>
        </w:tc>
        <w:tc>
          <w:tcPr>
            <w:tcW w:w="6758" w:type="dxa"/>
            <w:vAlign w:val="center"/>
            <w:textDirection w:val="lrTb"/>
            <w:noWrap w:val="false"/>
          </w:tcPr>
          <w:p>
            <w:pPr>
              <w:pStyle w:val="1017"/>
              <w:jc w:val="center"/>
              <w:rPr>
                <w:color w:val="auto"/>
                <w:highlight w:val="none"/>
              </w:rPr>
            </w:pPr>
            <w:r>
              <w:rPr>
                <w:color w:val="auto"/>
                <w:highlight w:val="none"/>
              </w:rPr>
            </w:r>
            <w:r/>
          </w:p>
        </w:tc>
      </w:tr>
      <w:tr>
        <w:trPr>
          <w:jc w:val="center"/>
          <w:trHeight w:val="991"/>
        </w:trPr>
        <w:tc>
          <w:tcPr>
            <w:tcW w:w="3204" w:type="dxa"/>
            <w:vAlign w:val="center"/>
            <w:textDirection w:val="lrTb"/>
            <w:noWrap w:val="false"/>
          </w:tcPr>
          <w:p>
            <w:pPr>
              <w:pStyle w:val="1017"/>
              <w:jc w:val="center"/>
              <w:rPr>
                <w:color w:val="auto"/>
                <w:highlight w:val="none"/>
              </w:rPr>
              <w:outlineLvl w:val="1"/>
            </w:pPr>
            <w:r>
              <w:rPr>
                <w:rFonts w:hint="eastAsia"/>
                <w:color w:val="auto"/>
                <w:highlight w:val="none"/>
              </w:rPr>
              <w:t xml:space="preserve">服务期限</w:t>
            </w:r>
            <w:r/>
          </w:p>
        </w:tc>
        <w:tc>
          <w:tcPr>
            <w:tcW w:w="6758" w:type="dxa"/>
            <w:vAlign w:val="center"/>
            <w:textDirection w:val="lrTb"/>
            <w:noWrap w:val="false"/>
          </w:tcPr>
          <w:p>
            <w:pPr>
              <w:pStyle w:val="1017"/>
              <w:jc w:val="center"/>
              <w:rPr>
                <w:color w:val="auto"/>
                <w:highlight w:val="none"/>
              </w:rPr>
            </w:pPr>
            <w:r>
              <w:rPr>
                <w:color w:val="auto"/>
                <w:highlight w:val="none"/>
              </w:rPr>
            </w:r>
            <w:r/>
          </w:p>
        </w:tc>
      </w:tr>
    </w:tbl>
    <w:p>
      <w:pPr>
        <w:pStyle w:val="1017"/>
        <w:jc w:val="both"/>
        <w:rPr>
          <w:color w:val="auto"/>
          <w:highlight w:val="none"/>
        </w:rPr>
        <w:outlineLvl w:val="1"/>
      </w:pPr>
      <w:r>
        <w:rPr>
          <w:color w:val="auto"/>
          <w:highlight w:val="none"/>
        </w:rPr>
        <w:t xml:space="preserve"> 注：</w:t>
      </w:r>
      <w:r/>
    </w:p>
    <w:p>
      <w:pPr>
        <w:pStyle w:val="1017"/>
        <w:numPr>
          <w:ilvl w:val="0"/>
          <w:numId w:val="2"/>
        </w:numPr>
        <w:ind w:firstLine="480"/>
        <w:spacing w:after="181" w:line="360" w:lineRule="auto"/>
        <w:rPr>
          <w:color w:val="auto"/>
          <w:highlight w:val="none"/>
        </w:rPr>
        <w:outlineLvl w:val="2"/>
      </w:pPr>
      <w:r>
        <w:rPr>
          <w:color w:val="auto"/>
          <w:highlight w:val="none"/>
        </w:rPr>
        <w:t xml:space="preserve">总价为综合报价，</w:t>
      </w:r>
      <w:r/>
    </w:p>
    <w:p>
      <w:pPr>
        <w:pStyle w:val="1017"/>
        <w:numPr>
          <w:ilvl w:val="0"/>
          <w:numId w:val="2"/>
        </w:numPr>
        <w:ind w:firstLine="480"/>
        <w:spacing w:after="181" w:line="360" w:lineRule="auto"/>
        <w:rPr>
          <w:color w:val="auto"/>
          <w:highlight w:val="none"/>
        </w:rPr>
        <w:outlineLvl w:val="1"/>
      </w:pPr>
      <w:r>
        <w:rPr>
          <w:rFonts w:hint="eastAsia"/>
          <w:color w:val="auto"/>
          <w:highlight w:val="none"/>
        </w:rPr>
        <w:t xml:space="preserve">投标人总报价是根据招标文件所确定的服务管理范围内的全部工作人员和内容的价格体现，是为完成招标文件规定的服务管理工作所涉及到的一切费用。应包括但不限于人员费用（工资、福利、培训、社会保险等）、服务所用设备工具购置及维修费用、通讯费、交通费、资料费、管理费用、中标服务费、利润、税金、政策性文件规定及合同包含的所有风险、责任等完成本项目各项应有费用。</w:t>
      </w:r>
      <w:r/>
    </w:p>
    <w:p>
      <w:pPr>
        <w:pStyle w:val="1017"/>
        <w:numPr>
          <w:ilvl w:val="0"/>
          <w:numId w:val="2"/>
        </w:numPr>
        <w:ind w:firstLine="480"/>
        <w:spacing w:after="181" w:line="360" w:lineRule="auto"/>
        <w:rPr>
          <w:color w:val="auto"/>
          <w:highlight w:val="none"/>
        </w:rPr>
        <w:outlineLvl w:val="1"/>
      </w:pPr>
      <w:r>
        <w:rPr>
          <w:color w:val="auto"/>
          <w:highlight w:val="none"/>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68"/>
        <w:pageBreakBefore/>
        <w:rPr>
          <w:rFonts w:ascii="宋体" w:hAnsi="宋体" w:eastAsia="宋体" w:cs="宋体"/>
          <w:b/>
          <w:color w:val="auto"/>
          <w:sz w:val="32"/>
          <w:highlight w:val="none"/>
        </w:rPr>
        <w:outlineLvl w:val="1"/>
      </w:pPr>
      <w:r>
        <w:rPr>
          <w:rFonts w:hint="eastAsia" w:ascii="宋体" w:hAnsi="宋体" w:eastAsia="宋体" w:cs="宋体"/>
          <w:b/>
          <w:color w:val="auto"/>
          <w:sz w:val="32"/>
          <w:highlight w:val="none"/>
        </w:rPr>
        <w:t xml:space="preserve">四、</w:t>
      </w:r>
      <w:r>
        <w:rPr>
          <w:rFonts w:ascii="宋体" w:hAnsi="宋体" w:eastAsia="宋体" w:cs="宋体"/>
          <w:b/>
          <w:color w:val="auto"/>
          <w:sz w:val="32"/>
          <w:highlight w:val="none"/>
        </w:rPr>
        <w:t xml:space="preserve">公开分项报价</w:t>
      </w:r>
      <w:r>
        <w:rPr>
          <w:rFonts w:hint="eastAsia" w:ascii="宋体" w:hAnsi="宋体" w:eastAsia="宋体" w:cs="宋体"/>
          <w:b/>
          <w:color w:val="auto"/>
          <w:sz w:val="32"/>
          <w:highlight w:val="none"/>
        </w:rPr>
        <w:t xml:space="preserve">表</w:t>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公开分项报价</w:t>
      </w:r>
      <w:r>
        <w:rPr>
          <w:rFonts w:hint="eastAsia" w:ascii="宋体" w:hAnsi="宋体" w:eastAsia="宋体" w:cs="宋体"/>
          <w:color w:val="auto"/>
          <w:highlight w:val="none"/>
        </w:rPr>
        <w:t xml:space="preserve">表</w:t>
      </w:r>
      <w:r/>
    </w:p>
    <w:tbl>
      <w:tblPr>
        <w:tblStyle w:val="725"/>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0"/>
        <w:gridCol w:w="2213"/>
        <w:gridCol w:w="3099"/>
        <w:gridCol w:w="1135"/>
        <w:gridCol w:w="1227"/>
        <w:gridCol w:w="155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个月总支出（元）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人员费用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员工工资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社会保险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4</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住房公积金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31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服务用品费用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6</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意外保险费用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办公费用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其它费用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0" w:type="dxa"/>
            <w:vAlign w:val="center"/>
            <w:textDirection w:val="lrTb"/>
            <w:noWrap w:val="false"/>
          </w:tcPr>
          <w:p>
            <w:pPr>
              <w:pStyle w:val="946"/>
              <w:jc w:val="center"/>
              <w:rPr>
                <w:rFonts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13"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税金</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99"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5"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27"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946"/>
        <w:rPr>
          <w:vanish/>
          <w:color w:val="auto"/>
          <w:highlight w:val="none"/>
        </w:rPr>
      </w:pPr>
      <w:r>
        <w:rPr>
          <w:vanish/>
          <w:color w:val="auto"/>
          <w:highlight w:val="none"/>
        </w:rPr>
      </w:r>
      <w:r/>
    </w:p>
    <w:tbl>
      <w:tblPr>
        <w:tblStyle w:val="725"/>
        <w:tblW w:w="9760"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34"/>
        <w:gridCol w:w="1140"/>
        <w:gridCol w:w="1230"/>
        <w:gridCol w:w="155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34"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30"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56" w:type="dxa"/>
            <w:vAlign w:val="center"/>
            <w:textDirection w:val="lrTb"/>
            <w:noWrap w:val="false"/>
          </w:tcPr>
          <w:p>
            <w:pPr>
              <w:pStyle w:val="946"/>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946"/>
        <w:spacing w:before="240" w:after="240"/>
        <w:rPr>
          <w:rFonts w:ascii="宋体" w:hAnsi="宋体" w:eastAsia="宋体" w:cs="宋体"/>
          <w:color w:val="auto"/>
          <w:highlight w:val="none"/>
        </w:rPr>
      </w:pPr>
      <w:r>
        <w:rPr>
          <w:rFonts w:ascii="宋体" w:hAnsi="宋体" w:eastAsia="宋体" w:cs="宋体"/>
          <w:color w:val="auto"/>
          <w:highlight w:val="none"/>
        </w:rPr>
        <w:t xml:space="preserve">注：注：</w:t>
      </w:r>
      <w:r>
        <w:rPr>
          <w:rFonts w:hint="eastAsia" w:ascii="宋体" w:hAnsi="宋体" w:eastAsia="宋体" w:cs="宋体"/>
          <w:color w:val="auto"/>
          <w:highlight w:val="none"/>
        </w:rPr>
        <w:t xml:space="preserve">供应商根据招标文件结合自身条件自主填报</w:t>
      </w:r>
      <w:r>
        <w:rPr>
          <w:rFonts w:ascii="宋体" w:hAnsi="宋体" w:eastAsia="宋体" w:cs="宋体"/>
          <w:color w:val="auto"/>
          <w:highlight w:val="none"/>
        </w:rPr>
        <w:t xml:space="preserve">，内容自行添加</w:t>
      </w:r>
      <w:r>
        <w:rPr>
          <w:rFonts w:hint="eastAsia" w:ascii="宋体" w:hAnsi="宋体" w:eastAsia="宋体" w:cs="宋体"/>
          <w:color w:val="auto"/>
          <w:highlight w:val="none"/>
        </w:rPr>
        <w:t xml:space="preserve">或删减</w:t>
      </w:r>
      <w:r>
        <w:rPr>
          <w:rFonts w:ascii="宋体" w:hAnsi="宋体" w:eastAsia="宋体" w:cs="宋体"/>
          <w:color w:val="auto"/>
          <w:highlight w:val="none"/>
        </w:rPr>
        <w:t xml:space="preserve">。 </w:t>
      </w:r>
      <w:r/>
    </w:p>
    <w:p>
      <w:pPr>
        <w:pStyle w:val="1017"/>
        <w:ind w:left="480"/>
        <w:spacing w:after="181" w:line="360" w:lineRule="auto"/>
        <w:rPr>
          <w:color w:val="auto"/>
          <w:highlight w:val="none"/>
        </w:rPr>
        <w:outlineLvl w:val="1"/>
      </w:pPr>
      <w:r>
        <w:rPr>
          <w:color w:val="auto"/>
          <w:highlight w:val="none"/>
        </w:rPr>
      </w:r>
      <w:r/>
    </w:p>
    <w:p>
      <w:pPr>
        <w:pStyle w:val="1017"/>
        <w:pageBreakBefore/>
        <w:rPr>
          <w:color w:val="auto"/>
          <w:highlight w:val="none"/>
        </w:rPr>
        <w:outlineLvl w:val="1"/>
      </w:pPr>
      <w:r/>
      <w:bookmarkStart w:id="199" w:name="_Toc9974"/>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、资格证明文件</w:t>
      </w:r>
      <w:bookmarkEnd w:id="199"/>
      <w:r/>
      <w:r/>
    </w:p>
    <w:p>
      <w:pPr>
        <w:pStyle w:val="1024"/>
        <w:jc w:val="center"/>
        <w:rPr>
          <w:rStyle w:val="920"/>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024"/>
        <w:rPr>
          <w:rStyle w:val="920"/>
          <w:rFonts w:ascii="宋体" w:hAnsi="宋体" w:eastAsia="宋体" w:cs="宋体"/>
          <w:b/>
          <w:bCs/>
          <w:color w:val="auto"/>
          <w:highlight w:val="none"/>
        </w:rPr>
        <w:outlineLvl w:val="2"/>
      </w:pPr>
      <w:r>
        <w:rPr>
          <w:rStyle w:val="920"/>
          <w:rFonts w:hint="eastAsia" w:ascii="宋体" w:hAnsi="宋体" w:eastAsia="宋体" w:cs="宋体"/>
          <w:b/>
          <w:color w:val="auto"/>
          <w:highlight w:val="none"/>
        </w:rPr>
        <w:t xml:space="preserve">1.</w:t>
      </w:r>
      <w:r>
        <w:rPr>
          <w:rStyle w:val="920"/>
          <w:rFonts w:ascii="宋体" w:hAnsi="宋体" w:eastAsia="宋体" w:cs="宋体"/>
          <w:b/>
          <w:color w:val="auto"/>
          <w:highlight w:val="none"/>
        </w:rPr>
        <w:t xml:space="preserve">关于资格证明文件的书面承诺</w:t>
      </w:r>
      <w:r/>
    </w:p>
    <w:p>
      <w:pPr>
        <w:pStyle w:val="984"/>
        <w:jc w:val="center"/>
        <w:spacing w:before="320" w:after="320"/>
        <w:rPr>
          <w:rStyle w:val="920"/>
          <w:rFonts w:ascii="宋体" w:hAnsi="宋体" w:eastAsia="宋体" w:cs="宋体"/>
          <w:b/>
          <w:bCs/>
          <w:color w:val="auto"/>
          <w:highlight w:val="none"/>
        </w:rPr>
      </w:pPr>
      <w:r>
        <w:rPr>
          <w:rStyle w:val="920"/>
          <w:rFonts w:ascii="宋体" w:hAnsi="宋体" w:eastAsia="宋体" w:cs="宋体"/>
          <w:b/>
          <w:bCs/>
          <w:color w:val="auto"/>
          <w:highlight w:val="none"/>
        </w:rPr>
        <w:t xml:space="preserve">关于资格证明文件的书面承诺</w:t>
      </w:r>
      <w:r/>
    </w:p>
    <w:p>
      <w:pPr>
        <w:pStyle w:val="984"/>
        <w:spacing w:before="240" w:after="240"/>
        <w:rPr>
          <w:rStyle w:val="920"/>
          <w:rFonts w:ascii="宋体" w:hAnsi="宋体" w:eastAsia="宋体" w:cs="宋体"/>
          <w:b/>
          <w:bCs/>
          <w:color w:val="auto"/>
          <w:sz w:val="32"/>
          <w:szCs w:val="32"/>
          <w:highlight w:val="none"/>
        </w:rPr>
      </w:pPr>
      <w:r>
        <w:rPr>
          <w:rStyle w:val="920"/>
          <w:rFonts w:ascii="宋体" w:hAnsi="宋体" w:eastAsia="宋体" w:cs="宋体"/>
          <w:color w:val="auto"/>
          <w:highlight w:val="none"/>
        </w:rPr>
        <w:t xml:space="preserve"> </w:t>
      </w:r>
      <w:r>
        <w:rPr>
          <w:rStyle w:val="920"/>
          <w:rFonts w:ascii="宋体" w:hAnsi="宋体" w:eastAsia="宋体" w:cs="宋体"/>
          <w:b/>
          <w:bCs/>
          <w:color w:val="auto"/>
          <w:sz w:val="32"/>
          <w:szCs w:val="32"/>
          <w:highlight w:val="none"/>
        </w:rPr>
        <w:t xml:space="preserve"> </w:t>
      </w:r>
      <w:r/>
    </w:p>
    <w:p>
      <w:pPr>
        <w:pStyle w:val="984"/>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84"/>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84"/>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84"/>
        <w:jc w:val="center"/>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84"/>
        <w:jc w:val="center"/>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84"/>
        <w:jc w:val="center"/>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84"/>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投标单位（加盖公章）：   </w:t>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1011"/>
        <w:rPr>
          <w:rStyle w:val="920"/>
          <w:color w:val="auto"/>
          <w:highlight w:val="none"/>
        </w:rPr>
      </w:pPr>
      <w:r>
        <w:rPr>
          <w:color w:val="auto"/>
          <w:highlight w:val="none"/>
        </w:rPr>
      </w:r>
      <w:r/>
    </w:p>
    <w:p>
      <w:pPr>
        <w:pStyle w:val="955"/>
        <w:jc w:val="center"/>
        <w:pageBreakBefore/>
        <w:spacing w:line="440" w:lineRule="exact"/>
        <w:rPr>
          <w:rStyle w:val="920"/>
          <w:rFonts w:ascii="宋体" w:hAnsi="宋体" w:eastAsia="宋体" w:cs="宋体"/>
          <w:color w:val="auto"/>
          <w:spacing w:val="7"/>
          <w:highlight w:val="none"/>
        </w:rPr>
      </w:pPr>
      <w:r>
        <w:rPr>
          <w:rStyle w:val="920"/>
          <w:rFonts w:hint="eastAsia" w:ascii="宋体" w:hAnsi="宋体" w:eastAsia="宋体" w:cs="宋体"/>
          <w:b/>
          <w:color w:val="auto"/>
          <w:highlight w:val="none"/>
        </w:rPr>
        <w:t xml:space="preserve">2.具有独立承担民事责任的能力证明【提供投标单位营业执照副本复印件，投标单位法定代表人身份证复印件，法人授权委托书（如有授权），投标单位代理人身份证复印件（如有授权）】</w:t>
      </w:r>
      <w:r>
        <w:rPr>
          <w:rStyle w:val="920"/>
          <w:rFonts w:hint="eastAsia" w:ascii="宋体" w:hAnsi="宋体" w:eastAsia="宋体" w:cs="宋体"/>
          <w:color w:val="auto"/>
          <w:highlight w:val="none"/>
        </w:rPr>
        <w:t xml:space="preserve">﻿</w:t>
      </w:r>
      <w:r/>
    </w:p>
    <w:p>
      <w:pPr>
        <w:pStyle w:val="955"/>
        <w:spacing w:before="240" w:after="240"/>
        <w:rPr>
          <w:rStyle w:val="920"/>
          <w:rFonts w:ascii="宋体" w:hAnsi="宋体" w:eastAsia="宋体" w:cs="宋体"/>
          <w:color w:val="auto"/>
          <w:highlight w:val="none"/>
        </w:rPr>
      </w:pPr>
      <w:r>
        <w:rPr>
          <w:rStyle w:val="920"/>
          <w:rFonts w:hint="eastAsia" w:ascii="宋体" w:hAnsi="宋体" w:eastAsia="宋体" w:cs="宋体"/>
          <w:color w:val="auto"/>
          <w:highlight w:val="none"/>
        </w:rPr>
        <w:t xml:space="preserve">  </w:t>
      </w:r>
      <w:r/>
    </w:p>
    <w:p>
      <w:pPr>
        <w:pStyle w:val="955"/>
        <w:ind w:firstLine="480"/>
        <w:spacing w:before="240" w:after="240" w:line="360" w:lineRule="auto"/>
        <w:rPr>
          <w:rStyle w:val="920"/>
          <w:color w:val="auto"/>
          <w:highlight w:val="none"/>
        </w:rPr>
      </w:pPr>
      <w:r>
        <w:rPr>
          <w:rStyle w:val="920"/>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55"/>
        <w:jc w:val="center"/>
        <w:spacing w:before="240" w:after="240"/>
        <w:rPr>
          <w:rStyle w:val="920"/>
          <w:color w:val="auto"/>
          <w:highlight w:val="none"/>
        </w:rPr>
      </w:pPr>
      <w:r>
        <w:rPr>
          <w:rStyle w:val="920"/>
          <w:color w:val="auto"/>
          <w:highlight w:val="none"/>
        </w:rPr>
        <w:t xml:space="preserve">  </w:t>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spacing w:after="156"/>
        <w:rPr>
          <w:rFonts w:ascii="宋体" w:hAnsi="宋体" w:cs="宋体"/>
          <w:color w:val="auto"/>
          <w:sz w:val="24"/>
          <w:highlight w:val="none"/>
        </w:rPr>
      </w:pPr>
      <w:r>
        <w:rPr>
          <w:rFonts w:ascii="宋体" w:hAnsi="宋体" w:cs="宋体"/>
          <w:color w:val="auto"/>
          <w:sz w:val="24"/>
          <w:highlight w:val="none"/>
        </w:rPr>
      </w:r>
      <w:r/>
    </w:p>
    <w:p>
      <w:pPr>
        <w:jc w:val="center"/>
        <w:pageBreakBefore/>
        <w:spacing w:after="156"/>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rPr>
        <w:t xml:space="preserve">法定代表人身份证明书</w:t>
      </w:r>
      <w:r/>
    </w:p>
    <w:p>
      <w:pPr>
        <w:spacing w:after="156"/>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p>
    <w:p>
      <w:pPr>
        <w:spacing w:after="156"/>
        <w:rPr>
          <w:rFonts w:ascii="宋体" w:hAnsi="宋体" w:cs="宋体"/>
          <w:color w:val="auto"/>
          <w:sz w:val="24"/>
          <w:highlight w:val="none"/>
        </w:rPr>
      </w:pPr>
      <w:r>
        <w:rPr>
          <w:rFonts w:hint="eastAsia" w:ascii="宋体" w:hAnsi="宋体" w:cs="宋体"/>
          <w:color w:val="auto"/>
          <w:sz w:val="24"/>
          <w:highlight w:val="none"/>
          <w:u w:val="single"/>
        </w:rPr>
        <w:t xml:space="preserve">致（采购代理机构名称）</w:t>
      </w:r>
      <w:r>
        <w:rPr>
          <w:rFonts w:hint="eastAsia" w:ascii="宋体" w:hAnsi="宋体" w:cs="宋体"/>
          <w:color w:val="auto"/>
          <w:sz w:val="24"/>
          <w:highlight w:val="none"/>
        </w:rPr>
        <w:t xml:space="preserve">：</w:t>
      </w:r>
      <w:r/>
    </w:p>
    <w:p>
      <w:pPr>
        <w:ind w:firstLine="480"/>
        <w:spacing w:after="156"/>
        <w:rPr>
          <w:rFonts w:ascii="宋体" w:hAnsi="宋体" w:cs="宋体"/>
          <w:color w:val="auto"/>
          <w:sz w:val="24"/>
          <w:highlight w:val="none"/>
        </w:rPr>
      </w:pPr>
      <w:r>
        <w:rPr>
          <w:rFonts w:hint="eastAsia" w:ascii="宋体" w:hAnsi="宋体" w:cs="宋体"/>
          <w:color w:val="auto"/>
          <w:sz w:val="24"/>
          <w:highlight w:val="none"/>
          <w:u w:val="single"/>
        </w:rPr>
        <w:t xml:space="preserve">        （姓名、性别、年龄、身份证号码）</w:t>
      </w:r>
      <w:r>
        <w:rPr>
          <w:rFonts w:hint="eastAsia" w:ascii="宋体" w:hAnsi="宋体" w:cs="宋体"/>
          <w:color w:val="auto"/>
          <w:sz w:val="24"/>
          <w:highlight w:val="none"/>
        </w:rPr>
        <w:t xml:space="preserve">在我</w:t>
      </w:r>
      <w:r>
        <w:rPr>
          <w:color w:val="auto"/>
          <w:highlight w:val="none"/>
        </w:rPr>
        <w:fldChar w:fldCharType="begin"/>
      </w:r>
      <w:r>
        <w:rPr>
          <w:color w:val="auto"/>
          <w:highlight w:val="none"/>
        </w:rPr>
        <w:instrText xml:space="preserve"> HYPERLINK "https://baike.baidu.com/item/%E5%8D%95%E4%BD%8D/32292" \t "_blank" </w:instrText>
      </w:r>
      <w:r>
        <w:rPr>
          <w:color w:val="auto"/>
          <w:highlight w:val="none"/>
        </w:rPr>
        <w:fldChar w:fldCharType="separate"/>
      </w:r>
      <w:r>
        <w:rPr>
          <w:rFonts w:hint="eastAsia" w:ascii="宋体" w:hAnsi="宋体" w:cs="宋体"/>
          <w:color w:val="auto"/>
          <w:sz w:val="24"/>
          <w:highlight w:val="none"/>
        </w:rPr>
        <w:t xml:space="preserve">单位</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（董事长、总经理等）职务，是我单位的法定代表人。</w:t>
      </w:r>
      <w:r/>
    </w:p>
    <w:p>
      <w:pPr>
        <w:spacing w:after="156"/>
        <w:rPr>
          <w:rFonts w:ascii="宋体" w:hAnsi="宋体" w:cs="宋体"/>
          <w:color w:val="auto"/>
          <w:sz w:val="24"/>
          <w:highlight w:val="none"/>
        </w:rPr>
      </w:pPr>
      <w:r>
        <w:rPr>
          <w:rFonts w:ascii="宋体" w:hAnsi="宋体" w:cs="宋体"/>
          <w:color w:val="auto"/>
          <w:sz w:val="24"/>
          <w:highlight w:val="none"/>
        </w:rPr>
      </w:r>
      <w:r/>
    </w:p>
    <w:p>
      <w:pPr>
        <w:ind w:firstLine="480"/>
        <w:spacing w:after="156"/>
        <w:rPr>
          <w:rFonts w:ascii="宋体" w:hAnsi="宋体" w:cs="宋体"/>
          <w:color w:val="auto"/>
          <w:sz w:val="24"/>
          <w:highlight w:val="none"/>
        </w:rPr>
      </w:pPr>
      <w:r>
        <w:rPr>
          <w:rFonts w:hint="eastAsia" w:ascii="宋体" w:hAnsi="宋体" w:cs="宋体"/>
          <w:color w:val="auto"/>
          <w:sz w:val="24"/>
          <w:highlight w:val="none"/>
        </w:rPr>
        <w:t xml:space="preserve">特此证明。</w:t>
      </w:r>
      <w:r/>
    </w:p>
    <w:p>
      <w:pPr>
        <w:spacing w:after="156"/>
        <w:rPr>
          <w:rFonts w:ascii="宋体" w:hAnsi="宋体" w:cs="宋体"/>
          <w:color w:val="auto"/>
          <w:sz w:val="24"/>
          <w:highlight w:val="none"/>
        </w:rPr>
      </w:pPr>
      <w:r>
        <w:rPr>
          <w:rFonts w:ascii="宋体" w:hAnsi="宋体" w:cs="宋体"/>
          <w:color w:val="auto"/>
          <w:sz w:val="24"/>
          <w:highlight w:val="none"/>
        </w:rPr>
      </w:r>
      <w:r/>
    </w:p>
    <w:p>
      <w:pPr>
        <w:pStyle w:val="1035"/>
        <w:ind w:left="-540" w:firstLine="90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投标单位签章：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p>
    <w:p>
      <w:pPr>
        <w:pStyle w:val="1035"/>
        <w:ind w:left="269" w:firstLine="12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详细通讯地址：</w:t>
      </w:r>
      <w:r>
        <w:rPr>
          <w:rFonts w:hint="eastAsia" w:hAnsi="宋体" w:eastAsia="宋体" w:cs="宋体"/>
          <w:color w:val="auto"/>
          <w:sz w:val="24"/>
          <w:szCs w:val="24"/>
          <w:highlight w:val="none"/>
          <w:u w:val="single"/>
        </w:rPr>
        <w:t xml:space="preserve">                                </w:t>
      </w:r>
      <w:r/>
    </w:p>
    <w:p>
      <w:pPr>
        <w:pStyle w:val="1035"/>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政 编 码 ：</w:t>
      </w:r>
      <w:r>
        <w:rPr>
          <w:rFonts w:hint="eastAsia" w:hAnsi="宋体" w:eastAsia="宋体" w:cs="宋体"/>
          <w:color w:val="auto"/>
          <w:sz w:val="24"/>
          <w:szCs w:val="24"/>
          <w:highlight w:val="none"/>
          <w:u w:val="single"/>
        </w:rPr>
        <w:t xml:space="preserve">                                </w:t>
      </w:r>
      <w:r/>
    </w:p>
    <w:p>
      <w:pPr>
        <w:pStyle w:val="1035"/>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箱：</w:t>
      </w:r>
      <w:r>
        <w:rPr>
          <w:rFonts w:hint="eastAsia" w:hAnsi="宋体" w:eastAsia="宋体" w:cs="宋体"/>
          <w:color w:val="auto"/>
          <w:sz w:val="24"/>
          <w:szCs w:val="24"/>
          <w:highlight w:val="none"/>
          <w:u w:val="single"/>
        </w:rPr>
        <w:t xml:space="preserve">                                </w:t>
      </w:r>
      <w:r/>
    </w:p>
    <w:p>
      <w:pPr>
        <w:pStyle w:val="1035"/>
        <w:ind w:firstLine="360"/>
        <w:spacing w:after="156"/>
        <w:tabs>
          <w:tab w:val="left" w:pos="5580" w:leader="none"/>
        </w:tabs>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　　　　话：</w:t>
      </w:r>
      <w:r>
        <w:rPr>
          <w:rFonts w:hint="eastAsia" w:hAnsi="宋体" w:eastAsia="宋体" w:cs="宋体"/>
          <w:color w:val="auto"/>
          <w:sz w:val="24"/>
          <w:szCs w:val="24"/>
          <w:highlight w:val="none"/>
          <w:u w:val="single"/>
        </w:rPr>
        <w:t xml:space="preserve">                                </w:t>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36"/>
        <w:spacing w:before="75" w:beforeAutospacing="0" w:after="156" w:afterAutospacing="0"/>
        <w:widowControl/>
        <w:rPr>
          <w:rFonts w:ascii="宋体" w:hAnsi="宋体" w:cs="宋体"/>
          <w:color w:val="auto"/>
          <w:szCs w:val="24"/>
          <w:highlight w:val="none"/>
        </w:rPr>
      </w:pPr>
      <w:r>
        <w:rPr>
          <w:rFonts w:hint="eastAsia" w:ascii="宋体" w:hAnsi="宋体" w:cs="宋体"/>
          <w:color w:val="auto"/>
          <w:szCs w:val="24"/>
          <w:highlight w:val="none"/>
        </w:rPr>
        <w:t xml:space="preserve">附：法定代表人的身份证正反面复印件</w:t>
      </w:r>
      <w:r/>
    </w:p>
    <w:tbl>
      <w:tblPr>
        <w:tblStyle w:val="725"/>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9956" w:type="dxa"/>
            <w:vAlign w:val="center"/>
            <w:textDirection w:val="lrTb"/>
            <w:noWrap w:val="false"/>
          </w:tcPr>
          <w:p>
            <w:pPr>
              <w:pStyle w:val="1036"/>
              <w:jc w:val="center"/>
              <w:spacing w:beforeAutospacing="0" w:after="156" w:afterAutospacing="0"/>
              <w:widowControl/>
              <w:rPr>
                <w:rFonts w:ascii="宋体" w:hAnsi="宋体" w:cs="宋体"/>
                <w:color w:val="auto"/>
                <w:szCs w:val="24"/>
                <w:highlight w:val="none"/>
              </w:rPr>
            </w:pPr>
            <w:r>
              <w:rPr>
                <w:rStyle w:val="1050"/>
                <w:rFonts w:hint="eastAsia" w:ascii="宋体" w:hAnsi="宋体" w:cs="宋体"/>
                <w:color w:val="auto"/>
                <w:szCs w:val="24"/>
                <w:highlight w:val="none"/>
              </w:rPr>
              <w:t xml:space="preserve"> </w:t>
            </w:r>
            <w:r/>
          </w:p>
          <w:p>
            <w:pPr>
              <w:pStyle w:val="1036"/>
              <w:jc w:val="center"/>
              <w:spacing w:beforeAutospacing="0" w:after="156" w:afterAutospacing="0"/>
              <w:widowControl/>
              <w:rPr>
                <w:rFonts w:ascii="宋体" w:hAnsi="宋体" w:cs="宋体"/>
                <w:color w:val="auto"/>
                <w:szCs w:val="24"/>
                <w:highlight w:val="none"/>
              </w:rPr>
            </w:pPr>
            <w:r>
              <w:rPr>
                <w:rStyle w:val="1050"/>
                <w:rFonts w:hint="eastAsia" w:ascii="宋体" w:hAnsi="宋体" w:cs="宋体"/>
                <w:color w:val="auto"/>
                <w:szCs w:val="24"/>
                <w:highlight w:val="none"/>
              </w:rPr>
              <w:t xml:space="preserve">要求：真实、有效、清晰</w:t>
            </w:r>
            <w:r/>
          </w:p>
          <w:p>
            <w:pPr>
              <w:pStyle w:val="1036"/>
              <w:jc w:val="center"/>
              <w:spacing w:beforeAutospacing="0" w:after="156" w:afterAutospacing="0"/>
              <w:widowControl/>
              <w:rPr>
                <w:rFonts w:ascii="宋体" w:hAnsi="宋体" w:cs="宋体"/>
                <w:color w:val="auto"/>
                <w:szCs w:val="24"/>
                <w:highlight w:val="none"/>
              </w:rPr>
            </w:pPr>
            <w:r>
              <w:rPr>
                <w:rStyle w:val="1050"/>
                <w:rFonts w:hint="eastAsia" w:ascii="宋体" w:hAnsi="宋体" w:cs="宋体"/>
                <w:color w:val="auto"/>
                <w:szCs w:val="24"/>
                <w:highlight w:val="none"/>
              </w:rPr>
              <w:t xml:space="preserve"> </w:t>
            </w:r>
            <w:r/>
          </w:p>
        </w:tc>
      </w:tr>
    </w:tbl>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rPr>
          <w:rStyle w:val="920"/>
          <w:rFonts w:ascii="宋体" w:hAnsi="宋体" w:eastAsia="宋体" w:cs="宋体"/>
          <w:b/>
          <w:color w:val="auto"/>
          <w:sz w:val="28"/>
          <w:highlight w:val="none"/>
        </w:rPr>
      </w:pPr>
      <w:r>
        <w:rPr>
          <w:rFonts w:ascii="宋体" w:hAnsi="宋体" w:eastAsia="宋体" w:cs="宋体"/>
          <w:b/>
          <w:color w:val="auto"/>
          <w:sz w:val="28"/>
          <w:highlight w:val="none"/>
        </w:rPr>
      </w:r>
      <w:r/>
    </w:p>
    <w:p>
      <w:pPr>
        <w:pStyle w:val="1010"/>
        <w:pageBreakBefore/>
        <w:rPr>
          <w:rStyle w:val="920"/>
          <w:rFonts w:ascii="宋体" w:hAnsi="宋体" w:eastAsia="宋体" w:cs="宋体"/>
          <w:b/>
          <w:bCs/>
          <w:color w:val="auto"/>
          <w:highlight w:val="none"/>
        </w:rPr>
        <w:outlineLvl w:val="2"/>
      </w:pPr>
      <w:r>
        <w:rPr>
          <w:rStyle w:val="920"/>
          <w:rFonts w:hint="eastAsia" w:ascii="宋体" w:hAnsi="宋体" w:eastAsia="宋体" w:cs="宋体"/>
          <w:b/>
          <w:color w:val="auto"/>
          <w:highlight w:val="none"/>
        </w:rPr>
        <w:t xml:space="preserve">3.授权委托书</w:t>
      </w:r>
      <w:r/>
    </w:p>
    <w:p>
      <w:pPr>
        <w:pStyle w:val="971"/>
        <w:spacing w:line="440" w:lineRule="exact"/>
        <w:rPr>
          <w:rStyle w:val="920"/>
          <w:rFonts w:ascii="宋体" w:hAnsi="宋体" w:eastAsia="宋体" w:cs="宋体"/>
          <w:color w:val="auto"/>
          <w:spacing w:val="7"/>
          <w:highlight w:val="none"/>
        </w:rPr>
      </w:pPr>
      <w:r>
        <w:rPr>
          <w:rStyle w:val="920"/>
          <w:rFonts w:hint="eastAsia" w:ascii="宋体" w:hAnsi="宋体" w:eastAsia="宋体" w:cs="宋体"/>
          <w:color w:val="auto"/>
          <w:highlight w:val="none"/>
        </w:rPr>
        <w:t xml:space="preserve">﻿ </w:t>
      </w:r>
      <w:r/>
    </w:p>
    <w:p>
      <w:pPr>
        <w:pStyle w:val="971"/>
        <w:jc w:val="center"/>
        <w:spacing w:before="320" w:after="320"/>
        <w:rPr>
          <w:rStyle w:val="920"/>
          <w:rFonts w:ascii="宋体" w:hAnsi="宋体" w:eastAsia="宋体" w:cs="宋体"/>
          <w:b/>
          <w:bCs/>
          <w:color w:val="auto"/>
          <w:highlight w:val="none"/>
        </w:rPr>
      </w:pPr>
      <w:r>
        <w:rPr>
          <w:rStyle w:val="920"/>
          <w:rFonts w:hint="eastAsia" w:ascii="宋体" w:hAnsi="宋体" w:eastAsia="宋体" w:cs="宋体"/>
          <w:b/>
          <w:bCs/>
          <w:color w:val="auto"/>
          <w:highlight w:val="none"/>
        </w:rPr>
        <w:t xml:space="preserve">授权委托书</w:t>
      </w:r>
      <w:r/>
    </w:p>
    <w:p>
      <w:pPr>
        <w:pStyle w:val="971"/>
        <w:spacing w:before="240" w:after="240"/>
        <w:rPr>
          <w:rStyle w:val="920"/>
          <w:color w:val="auto"/>
          <w:highlight w:val="none"/>
        </w:rPr>
      </w:pPr>
      <w:r>
        <w:rPr>
          <w:rStyle w:val="920"/>
          <w:color w:val="auto"/>
          <w:highlight w:val="none"/>
        </w:rPr>
        <w:t xml:space="preserve"> </w:t>
      </w:r>
      <w:r/>
    </w:p>
    <w:p>
      <w:pPr>
        <w:pStyle w:val="971"/>
        <w:ind w:firstLine="500"/>
        <w:spacing w:before="240" w:after="240"/>
        <w:rPr>
          <w:rStyle w:val="920"/>
          <w:color w:val="auto"/>
          <w:highlight w:val="none"/>
        </w:rPr>
      </w:pPr>
      <w:r>
        <w:rPr>
          <w:rStyle w:val="920"/>
          <w:color w:val="auto"/>
          <w:highlight w:val="none"/>
        </w:rPr>
        <w:t xml:space="preserve">本授权书声明：</w:t>
      </w:r>
      <w:r>
        <w:rPr>
          <w:rStyle w:val="920"/>
          <w:color w:val="auto"/>
          <w:highlight w:val="none"/>
          <w:u w:val="single"/>
        </w:rPr>
        <w:t xml:space="preserve">   （</w:t>
      </w:r>
      <w:r>
        <w:rPr>
          <w:rStyle w:val="920"/>
          <w:rFonts w:hint="eastAsia"/>
          <w:color w:val="auto"/>
          <w:highlight w:val="none"/>
          <w:u w:val="single"/>
        </w:rPr>
        <w:t xml:space="preserve">投标单位</w:t>
      </w:r>
      <w:r>
        <w:rPr>
          <w:rStyle w:val="920"/>
          <w:color w:val="auto"/>
          <w:highlight w:val="none"/>
          <w:u w:val="single"/>
        </w:rPr>
        <w:t xml:space="preserve">名称）</w:t>
      </w:r>
      <w:r>
        <w:rPr>
          <w:rStyle w:val="920"/>
          <w:color w:val="auto"/>
          <w:highlight w:val="none"/>
        </w:rPr>
        <w:t xml:space="preserve">授权</w:t>
      </w:r>
      <w:r>
        <w:rPr>
          <w:rStyle w:val="920"/>
          <w:color w:val="auto"/>
          <w:highlight w:val="none"/>
          <w:u w:val="single"/>
        </w:rPr>
        <w:t xml:space="preserve">(被授权人的姓名)</w:t>
      </w:r>
      <w:r>
        <w:rPr>
          <w:rStyle w:val="920"/>
          <w:color w:val="auto"/>
          <w:highlight w:val="none"/>
        </w:rPr>
        <w:t xml:space="preserve">为我方就</w:t>
      </w:r>
      <w:r>
        <w:rPr>
          <w:rStyle w:val="920"/>
          <w:color w:val="auto"/>
          <w:highlight w:val="none"/>
          <w:u w:val="single"/>
        </w:rPr>
        <w:t xml:space="preserve">   </w:t>
      </w:r>
      <w:r>
        <w:rPr>
          <w:rStyle w:val="920"/>
          <w:rFonts w:hint="eastAsia" w:eastAsia="宋体"/>
          <w:color w:val="auto"/>
          <w:highlight w:val="none"/>
          <w:u w:val="single"/>
        </w:rPr>
        <w:t xml:space="preserve">    </w:t>
      </w:r>
      <w:r>
        <w:rPr>
          <w:rStyle w:val="920"/>
          <w:color w:val="auto"/>
          <w:highlight w:val="none"/>
          <w:u w:val="single"/>
        </w:rPr>
        <w:t xml:space="preserve">项目</w:t>
      </w:r>
      <w:r>
        <w:rPr>
          <w:rStyle w:val="920"/>
          <w:color w:val="auto"/>
          <w:highlight w:val="none"/>
        </w:rPr>
        <w:t xml:space="preserve">采购活动的合法代理人，以本单位名义全权处理一切与该项目采购有关的事务。 </w:t>
      </w:r>
      <w:r/>
    </w:p>
    <w:p>
      <w:pPr>
        <w:pStyle w:val="971"/>
        <w:ind w:firstLine="500"/>
        <w:spacing w:before="240" w:after="240"/>
        <w:rPr>
          <w:rStyle w:val="920"/>
          <w:color w:val="auto"/>
          <w:highlight w:val="none"/>
        </w:rPr>
      </w:pPr>
      <w:r>
        <w:rPr>
          <w:rStyle w:val="920"/>
          <w:color w:val="auto"/>
          <w:highlight w:val="none"/>
        </w:rPr>
        <w:t xml:space="preserve">本授权书于</w:t>
      </w:r>
      <w:r>
        <w:rPr>
          <w:rStyle w:val="920"/>
          <w:color w:val="auto"/>
          <w:highlight w:val="none"/>
          <w:u w:val="single"/>
        </w:rPr>
        <w:t xml:space="preserve">   </w:t>
      </w:r>
      <w:r>
        <w:rPr>
          <w:rStyle w:val="920"/>
          <w:rFonts w:hint="eastAsia" w:eastAsia="宋体"/>
          <w:color w:val="auto"/>
          <w:highlight w:val="none"/>
          <w:u w:val="single"/>
        </w:rPr>
        <w:t xml:space="preserve">    </w:t>
      </w:r>
      <w:r>
        <w:rPr>
          <w:rStyle w:val="920"/>
          <w:color w:val="auto"/>
          <w:highlight w:val="none"/>
        </w:rPr>
        <w:t xml:space="preserve">起生效，特此声明。  </w:t>
      </w:r>
      <w:r/>
    </w:p>
    <w:p>
      <w:pPr>
        <w:pStyle w:val="971"/>
        <w:spacing w:before="240" w:after="240"/>
        <w:rPr>
          <w:rStyle w:val="920"/>
          <w:color w:val="auto"/>
          <w:highlight w:val="none"/>
        </w:rPr>
      </w:pPr>
      <w:r>
        <w:rPr>
          <w:rStyle w:val="920"/>
          <w:color w:val="auto"/>
          <w:highlight w:val="none"/>
        </w:rPr>
        <w:t xml:space="preserve"> </w:t>
      </w:r>
      <w:r/>
    </w:p>
    <w:p>
      <w:pPr>
        <w:pStyle w:val="971"/>
        <w:ind w:firstLine="3570"/>
        <w:spacing w:before="240" w:after="240"/>
        <w:rPr>
          <w:rStyle w:val="920"/>
          <w:color w:val="auto"/>
          <w:highlight w:val="none"/>
        </w:rPr>
      </w:pPr>
      <w:r>
        <w:rPr>
          <w:rStyle w:val="920"/>
          <w:color w:val="auto"/>
          <w:highlight w:val="none"/>
        </w:rPr>
        <w:t xml:space="preserve">被授权人身份证号码：   </w:t>
      </w:r>
      <w:r/>
    </w:p>
    <w:p>
      <w:pPr>
        <w:pStyle w:val="971"/>
        <w:ind w:firstLine="3570"/>
        <w:spacing w:before="240" w:after="240"/>
        <w:rPr>
          <w:rStyle w:val="920"/>
          <w:color w:val="auto"/>
          <w:highlight w:val="none"/>
        </w:rPr>
      </w:pPr>
      <w:r>
        <w:rPr>
          <w:rStyle w:val="920"/>
          <w:color w:val="auto"/>
          <w:highlight w:val="none"/>
        </w:rPr>
        <w:t xml:space="preserve">被授权人联系电话：（手机）   </w:t>
      </w:r>
      <w:r/>
    </w:p>
    <w:p>
      <w:pPr>
        <w:pStyle w:val="971"/>
        <w:ind w:firstLine="3570"/>
        <w:spacing w:before="240" w:after="240"/>
        <w:rPr>
          <w:rStyle w:val="920"/>
          <w:color w:val="auto"/>
          <w:highlight w:val="none"/>
        </w:rPr>
      </w:pPr>
      <w:r>
        <w:rPr>
          <w:rStyle w:val="920"/>
          <w:color w:val="auto"/>
          <w:highlight w:val="none"/>
        </w:rPr>
        <w:t xml:space="preserve">授权单位名称：   （加盖公章）</w:t>
      </w:r>
      <w:r/>
    </w:p>
    <w:p>
      <w:pPr>
        <w:pStyle w:val="971"/>
        <w:ind w:firstLine="3570"/>
        <w:spacing w:before="240" w:after="240"/>
        <w:rPr>
          <w:rStyle w:val="920"/>
          <w:color w:val="auto"/>
          <w:highlight w:val="none"/>
        </w:rPr>
      </w:pPr>
      <w:r>
        <w:rPr>
          <w:rStyle w:val="920"/>
          <w:color w:val="auto"/>
          <w:highlight w:val="none"/>
        </w:rPr>
        <w:t xml:space="preserve">单位地址：   </w:t>
      </w:r>
      <w:r/>
    </w:p>
    <w:p>
      <w:pPr>
        <w:pStyle w:val="1011"/>
        <w:ind w:firstLine="3600"/>
        <w:jc w:val="both"/>
        <w:rPr>
          <w:rStyle w:val="920"/>
          <w:color w:val="auto"/>
          <w:highlight w:val="none"/>
        </w:rPr>
      </w:pPr>
      <w:r>
        <w:rPr>
          <w:rStyle w:val="920"/>
          <w:color w:val="auto"/>
          <w:highlight w:val="none"/>
        </w:rPr>
        <w:t xml:space="preserve">日期：   </w:t>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center"/>
        <w:rPr>
          <w:rStyle w:val="920"/>
          <w:color w:val="auto"/>
          <w:highlight w:val="none"/>
        </w:rPr>
      </w:pPr>
      <w:r>
        <w:rPr>
          <w:color w:val="auto"/>
          <w:highlight w:val="none"/>
        </w:rPr>
      </w:r>
      <w:r/>
    </w:p>
    <w:p>
      <w:pPr>
        <w:pStyle w:val="1011"/>
        <w:jc w:val="both"/>
        <w:rPr>
          <w:rStyle w:val="920"/>
          <w:rFonts w:ascii="宋体" w:hAnsi="宋体" w:eastAsia="宋体" w:cs="宋体"/>
          <w:color w:val="auto"/>
          <w:highlight w:val="none"/>
        </w:rPr>
      </w:pPr>
      <w:r>
        <w:rPr>
          <w:rFonts w:hint="eastAsia" w:ascii="宋体" w:hAnsi="宋体" w:eastAsia="宋体" w:cs="宋体"/>
          <w:color w:val="auto"/>
          <w:highlight w:val="none"/>
        </w:rPr>
        <w:t xml:space="preserve">附：法人代表、被授权代表的身份证正反面复印件</w:t>
      </w:r>
      <w:r/>
    </w:p>
    <w:p>
      <w:pPr>
        <w:pStyle w:val="756"/>
        <w:spacing w:before="75" w:beforeAutospacing="0" w:after="75" w:afterAutospacing="0" w:line="405" w:lineRule="atLeast"/>
        <w:widowControl/>
        <w:rPr>
          <w:rFonts w:ascii="sans-serif" w:hAnsi="sans-serif" w:eastAsia="sans-serif" w:cs="sans-serif"/>
          <w:color w:val="auto"/>
          <w:highlight w:val="none"/>
        </w:rPr>
      </w:pPr>
      <w:r>
        <w:rPr>
          <w:rFonts w:ascii="sans-serif" w:hAnsi="sans-serif" w:eastAsia="sans-serif" w:cs="sans-serif"/>
          <w:color w:val="auto"/>
          <w:highlight w:val="none"/>
        </w:rPr>
      </w:r>
      <w:r/>
    </w:p>
    <w:tbl>
      <w:tblPr>
        <w:tblStyle w:val="725"/>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rHeight w:val="700"/>
        </w:trPr>
        <w:tc>
          <w:tcPr>
            <w:tcBorders>
              <w:top w:val="single" w:color="auto" w:sz="6" w:space="0"/>
              <w:left w:val="single" w:color="auto" w:sz="6" w:space="0"/>
              <w:bottom w:val="single" w:color="auto" w:sz="6" w:space="0"/>
              <w:right w:val="single" w:color="auto" w:sz="6" w:space="0"/>
            </w:tcBorders>
            <w:tcMar>
              <w:left w:w="105" w:type="dxa"/>
              <w:right w:w="105" w:type="dxa"/>
            </w:tcMar>
            <w:tcW w:w="9956" w:type="dxa"/>
            <w:vAlign w:val="center"/>
            <w:textDirection w:val="lrTb"/>
            <w:noWrap w:val="false"/>
          </w:tcPr>
          <w:p>
            <w:pPr>
              <w:pStyle w:val="756"/>
              <w:jc w:val="center"/>
              <w:spacing w:line="405" w:lineRule="atLeast"/>
              <w:widowControl/>
              <w:rPr>
                <w:color w:val="auto"/>
                <w:highlight w:val="none"/>
              </w:rPr>
            </w:pPr>
            <w:r>
              <w:rPr>
                <w:rStyle w:val="758"/>
                <w:rFonts w:hint="eastAsia" w:ascii="宋体" w:hAnsi="宋体" w:cs="宋体"/>
                <w:bCs w:val="0"/>
                <w:color w:val="auto"/>
                <w:highlight w:val="none"/>
              </w:rPr>
              <w:t xml:space="preserve">要求：真实、有效、清晰</w:t>
            </w:r>
            <w:r/>
          </w:p>
          <w:p>
            <w:pPr>
              <w:pStyle w:val="756"/>
              <w:jc w:val="center"/>
              <w:spacing w:line="405" w:lineRule="atLeast"/>
              <w:widowControl/>
              <w:rPr>
                <w:color w:val="auto"/>
                <w:highlight w:val="none"/>
              </w:rPr>
            </w:pPr>
            <w:r>
              <w:rPr>
                <w:rStyle w:val="758"/>
                <w:rFonts w:hint="eastAsia" w:ascii="宋体" w:hAnsi="宋体" w:cs="宋体"/>
                <w:bCs w:val="0"/>
                <w:color w:val="auto"/>
                <w:highlight w:val="none"/>
              </w:rPr>
              <w:t xml:space="preserve"> </w:t>
            </w:r>
            <w:r/>
          </w:p>
        </w:tc>
      </w:tr>
    </w:tbl>
    <w:p>
      <w:pPr>
        <w:pStyle w:val="971"/>
        <w:ind w:firstLine="3600"/>
        <w:spacing w:before="240" w:after="240"/>
        <w:rPr>
          <w:rStyle w:val="920"/>
          <w:color w:val="auto"/>
          <w:highlight w:val="none"/>
        </w:rPr>
      </w:pPr>
      <w:r>
        <w:rPr>
          <w:color w:val="auto"/>
          <w:highlight w:val="none"/>
        </w:rPr>
      </w:r>
      <w:r/>
    </w:p>
    <w:p>
      <w:pPr>
        <w:pStyle w:val="1000"/>
        <w:pageBreakBefore/>
        <w:rPr>
          <w:rStyle w:val="920"/>
          <w:rFonts w:ascii="宋体" w:hAnsi="宋体" w:eastAsia="宋体" w:cs="宋体"/>
          <w:color w:val="auto"/>
          <w:highlight w:val="none"/>
        </w:rPr>
        <w:outlineLvl w:val="2"/>
      </w:pPr>
      <w:r>
        <w:rPr>
          <w:rStyle w:val="920"/>
          <w:rFonts w:ascii="宋体" w:hAnsi="宋体" w:eastAsia="宋体" w:cs="宋体"/>
          <w:b/>
          <w:color w:val="auto"/>
          <w:highlight w:val="none"/>
        </w:rPr>
        <w:t xml:space="preserve"> </w:t>
      </w:r>
      <w:bookmarkStart w:id="200" w:name="OLE_LINK5"/>
      <w:r>
        <w:rPr>
          <w:rStyle w:val="920"/>
          <w:rFonts w:hint="eastAsia" w:ascii="宋体" w:hAnsi="宋体" w:eastAsia="宋体" w:cs="宋体"/>
          <w:b/>
          <w:color w:val="auto"/>
          <w:highlight w:val="none"/>
        </w:rPr>
        <w:t xml:space="preserve"> 4.财务状况报告（成立不满一年不需要提供）</w:t>
      </w:r>
      <w:bookmarkEnd w:id="200"/>
      <w:r/>
      <w:r/>
    </w:p>
    <w:p>
      <w:pPr>
        <w:pStyle w:val="976"/>
        <w:spacing w:line="440" w:lineRule="exact"/>
        <w:rPr>
          <w:rStyle w:val="920"/>
          <w:rFonts w:ascii="宋体" w:hAnsi="宋体" w:eastAsia="宋体" w:cs="宋体"/>
          <w:color w:val="auto"/>
          <w:spacing w:val="7"/>
          <w:highlight w:val="none"/>
        </w:rPr>
      </w:pPr>
      <w:r>
        <w:rPr>
          <w:rStyle w:val="920"/>
          <w:rFonts w:hint="eastAsia" w:ascii="宋体" w:hAnsi="宋体" w:eastAsia="宋体" w:cs="宋体"/>
          <w:color w:val="auto"/>
          <w:highlight w:val="none"/>
        </w:rPr>
        <w:t xml:space="preserve">﻿ </w:t>
      </w:r>
      <w:r/>
    </w:p>
    <w:p>
      <w:pPr>
        <w:pStyle w:val="976"/>
        <w:jc w:val="center"/>
        <w:spacing w:before="360" w:after="360" w:line="300" w:lineRule="auto"/>
        <w:rPr>
          <w:rStyle w:val="920"/>
          <w:rFonts w:ascii="宋体" w:hAnsi="宋体" w:eastAsia="宋体" w:cs="宋体"/>
          <w:b/>
          <w:bCs/>
          <w:color w:val="auto"/>
          <w:highlight w:val="none"/>
        </w:rPr>
      </w:pPr>
      <w:r>
        <w:rPr>
          <w:rStyle w:val="920"/>
          <w:rFonts w:hint="eastAsia" w:ascii="宋体" w:hAnsi="宋体" w:eastAsia="宋体" w:cs="宋体"/>
          <w:b/>
          <w:bCs/>
          <w:color w:val="auto"/>
          <w:highlight w:val="none"/>
        </w:rPr>
        <w:t xml:space="preserve">近年财务状况表</w:t>
      </w:r>
      <w:r/>
    </w:p>
    <w:p>
      <w:pPr>
        <w:pStyle w:val="976"/>
        <w:rPr>
          <w:rStyle w:val="920"/>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014"/>
        <w:pageBreakBefore/>
        <w:rPr>
          <w:rStyle w:val="920"/>
          <w:color w:val="auto"/>
          <w:highlight w:val="none"/>
        </w:rPr>
        <w:outlineLvl w:val="2"/>
      </w:pPr>
      <w:r>
        <w:rPr>
          <w:rStyle w:val="920"/>
          <w:rFonts w:ascii="宋体" w:hAnsi="宋体" w:eastAsia="宋体" w:cs="宋体"/>
          <w:b/>
          <w:color w:val="auto"/>
          <w:highlight w:val="none"/>
        </w:rPr>
        <w:t xml:space="preserve">  </w:t>
      </w:r>
      <w:r>
        <w:rPr>
          <w:rStyle w:val="920"/>
          <w:rFonts w:hint="eastAsia" w:ascii="宋体" w:hAnsi="宋体" w:eastAsia="宋体" w:cs="宋体"/>
          <w:b/>
          <w:color w:val="auto"/>
          <w:highlight w:val="none"/>
        </w:rPr>
        <w:t xml:space="preserve">5.</w:t>
      </w:r>
      <w:r>
        <w:rPr>
          <w:rStyle w:val="920"/>
          <w:rFonts w:ascii="宋体" w:hAnsi="宋体" w:eastAsia="宋体" w:cs="宋体"/>
          <w:b/>
          <w:color w:val="auto"/>
          <w:highlight w:val="none"/>
        </w:rPr>
        <w:t xml:space="preserve">依法缴纳税收和社会保障资金的相关材料</w:t>
      </w:r>
      <w:r/>
    </w:p>
    <w:p>
      <w:pPr>
        <w:pStyle w:val="963"/>
        <w:jc w:val="center"/>
        <w:rPr>
          <w:rStyle w:val="920"/>
          <w:rFonts w:ascii="Calibri" w:hAnsi="Calibri"/>
          <w:b/>
          <w:bCs/>
          <w:color w:val="auto"/>
          <w:sz w:val="24"/>
          <w:szCs w:val="24"/>
          <w:highlight w:val="none"/>
        </w:rPr>
      </w:pPr>
      <w:r>
        <w:rPr>
          <w:rFonts w:ascii="Calibri" w:hAnsi="Calibri"/>
          <w:b/>
          <w:bCs/>
          <w:color w:val="auto"/>
          <w:sz w:val="24"/>
          <w:szCs w:val="24"/>
          <w:highlight w:val="none"/>
        </w:rPr>
      </w:r>
      <w:r/>
    </w:p>
    <w:p>
      <w:pPr>
        <w:pStyle w:val="963"/>
        <w:jc w:val="center"/>
        <w:rPr>
          <w:rStyle w:val="920"/>
          <w:rFonts w:ascii="Calibri" w:hAnsi="Calibri"/>
          <w:b/>
          <w:bCs/>
          <w:color w:val="auto"/>
          <w:sz w:val="24"/>
          <w:szCs w:val="24"/>
          <w:highlight w:val="none"/>
        </w:rPr>
      </w:pPr>
      <w:r>
        <w:rPr>
          <w:rStyle w:val="920"/>
          <w:rFonts w:hint="eastAsia" w:ascii="Calibri" w:hAnsi="Calibri"/>
          <w:b/>
          <w:bCs/>
          <w:color w:val="auto"/>
          <w:sz w:val="24"/>
          <w:szCs w:val="24"/>
          <w:highlight w:val="none"/>
        </w:rPr>
        <w:t xml:space="preserve">依法缴纳税收和社会保障资金的相关材料</w:t>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rPr>
          <w:rStyle w:val="920"/>
          <w:rFonts w:ascii="宋体" w:hAnsi="宋体" w:eastAsia="宋体" w:cs="宋体"/>
          <w:b/>
          <w:color w:val="auto"/>
          <w:highlight w:val="none"/>
        </w:rPr>
        <w:outlineLvl w:val="2"/>
      </w:pPr>
      <w:r>
        <w:rPr>
          <w:rFonts w:ascii="宋体" w:hAnsi="宋体" w:eastAsia="宋体" w:cs="宋体"/>
          <w:b/>
          <w:color w:val="auto"/>
          <w:highlight w:val="none"/>
        </w:rPr>
      </w:r>
      <w:r/>
    </w:p>
    <w:p>
      <w:pPr>
        <w:pStyle w:val="975"/>
        <w:pageBreakBefore/>
        <w:rPr>
          <w:rStyle w:val="920"/>
          <w:color w:val="auto"/>
          <w:highlight w:val="none"/>
        </w:rPr>
        <w:outlineLvl w:val="2"/>
      </w:pPr>
      <w:r>
        <w:rPr>
          <w:rStyle w:val="920"/>
          <w:rFonts w:hint="eastAsia" w:ascii="宋体" w:hAnsi="宋体" w:eastAsia="宋体" w:cs="宋体"/>
          <w:b/>
          <w:color w:val="auto"/>
          <w:highlight w:val="none"/>
        </w:rPr>
        <w:t xml:space="preserve">6.</w:t>
      </w:r>
      <w:r>
        <w:rPr>
          <w:rStyle w:val="920"/>
          <w:rFonts w:ascii="宋体" w:hAnsi="宋体" w:eastAsia="宋体" w:cs="宋体"/>
          <w:b/>
          <w:color w:val="auto"/>
          <w:highlight w:val="none"/>
        </w:rPr>
        <w:t xml:space="preserve">具备履行合同所必需的设备和专业技术能力的书面声明</w:t>
      </w:r>
      <w:r/>
    </w:p>
    <w:p>
      <w:pPr>
        <w:pStyle w:val="1019"/>
        <w:spacing w:line="440" w:lineRule="exact"/>
        <w:rPr>
          <w:rStyle w:val="920"/>
          <w:color w:val="auto"/>
          <w:spacing w:val="7"/>
          <w:highlight w:val="none"/>
        </w:rPr>
      </w:pPr>
      <w:r>
        <w:rPr>
          <w:rStyle w:val="920"/>
          <w:rFonts w:ascii="宋体" w:hAnsi="宋体" w:eastAsia="宋体" w:cs="宋体"/>
          <w:color w:val="auto"/>
          <w:highlight w:val="none"/>
        </w:rPr>
        <w:t xml:space="preserve">﻿ </w:t>
      </w:r>
      <w:r/>
    </w:p>
    <w:p>
      <w:pPr>
        <w:pStyle w:val="1019"/>
        <w:jc w:val="center"/>
        <w:spacing w:before="320" w:after="320"/>
        <w:rPr>
          <w:rStyle w:val="920"/>
          <w:rFonts w:ascii="宋体" w:hAnsi="宋体" w:eastAsia="宋体" w:cs="宋体"/>
          <w:b/>
          <w:bCs/>
          <w:color w:val="auto"/>
          <w:highlight w:val="none"/>
        </w:rPr>
      </w:pPr>
      <w:r>
        <w:rPr>
          <w:rStyle w:val="920"/>
          <w:rFonts w:ascii="宋体" w:hAnsi="宋体" w:eastAsia="宋体" w:cs="宋体"/>
          <w:b/>
          <w:bCs/>
          <w:color w:val="auto"/>
          <w:highlight w:val="none"/>
        </w:rPr>
        <w:t xml:space="preserve">具备履行合同所必需的设备和专业技术能力的书面声明</w:t>
      </w:r>
      <w:r/>
    </w:p>
    <w:p>
      <w:pPr>
        <w:pStyle w:val="1019"/>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1019"/>
        <w:jc w:val="center"/>
        <w:spacing w:before="320" w:after="320"/>
        <w:rPr>
          <w:rStyle w:val="920"/>
          <w:rFonts w:ascii="宋体" w:hAnsi="宋体" w:eastAsia="宋体" w:cs="宋体"/>
          <w:b/>
          <w:bCs/>
          <w:color w:val="auto"/>
          <w:highlight w:val="none"/>
        </w:rPr>
      </w:pPr>
      <w:r>
        <w:rPr>
          <w:rStyle w:val="920"/>
          <w:rFonts w:ascii="宋体" w:hAnsi="宋体" w:eastAsia="宋体" w:cs="宋体"/>
          <w:b/>
          <w:bCs/>
          <w:color w:val="auto"/>
          <w:highlight w:val="none"/>
        </w:rPr>
        <w:t xml:space="preserve"> </w:t>
      </w:r>
      <w:r/>
    </w:p>
    <w:p>
      <w:pPr>
        <w:pStyle w:val="1019"/>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1019"/>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我单位郑重声明： 我单位具备履行本项采购合同所必需的设备和专业技术能力。 </w:t>
      </w:r>
      <w:r/>
    </w:p>
    <w:p>
      <w:pPr>
        <w:pStyle w:val="1019"/>
        <w:spacing w:before="360" w:after="360"/>
        <w:rPr>
          <w:rStyle w:val="920"/>
          <w:rFonts w:ascii="宋体" w:hAnsi="宋体" w:eastAsia="宋体" w:cs="宋体"/>
          <w:color w:val="auto"/>
          <w:sz w:val="36"/>
          <w:szCs w:val="36"/>
          <w:highlight w:val="none"/>
        </w:rPr>
      </w:pPr>
      <w:r>
        <w:rPr>
          <w:rStyle w:val="920"/>
          <w:rFonts w:ascii="宋体" w:hAnsi="宋体" w:eastAsia="宋体" w:cs="宋体"/>
          <w:color w:val="auto"/>
          <w:sz w:val="36"/>
          <w:szCs w:val="36"/>
          <w:highlight w:val="none"/>
        </w:rPr>
        <w:t xml:space="preserve"> </w:t>
      </w:r>
      <w:r/>
    </w:p>
    <w:p>
      <w:pPr>
        <w:pStyle w:val="1019"/>
        <w:jc w:val="center"/>
        <w:spacing w:before="360" w:after="360"/>
        <w:rPr>
          <w:rStyle w:val="920"/>
          <w:rFonts w:ascii="宋体" w:hAnsi="宋体" w:eastAsia="宋体" w:cs="宋体"/>
          <w:color w:val="auto"/>
          <w:sz w:val="36"/>
          <w:szCs w:val="36"/>
          <w:highlight w:val="none"/>
        </w:rPr>
      </w:pPr>
      <w:r>
        <w:rPr>
          <w:rStyle w:val="920"/>
          <w:rFonts w:ascii="宋体" w:hAnsi="宋体" w:eastAsia="宋体" w:cs="宋体"/>
          <w:color w:val="auto"/>
          <w:sz w:val="36"/>
          <w:szCs w:val="36"/>
          <w:highlight w:val="none"/>
        </w:rPr>
        <w:t xml:space="preserve"> </w:t>
      </w:r>
      <w:r/>
    </w:p>
    <w:p>
      <w:pPr>
        <w:pStyle w:val="1019"/>
        <w:jc w:val="center"/>
        <w:spacing w:before="360" w:after="360"/>
        <w:rPr>
          <w:rStyle w:val="920"/>
          <w:rFonts w:ascii="宋体" w:hAnsi="宋体" w:eastAsia="宋体" w:cs="宋体"/>
          <w:color w:val="auto"/>
          <w:sz w:val="36"/>
          <w:szCs w:val="36"/>
          <w:highlight w:val="none"/>
        </w:rPr>
      </w:pPr>
      <w:r>
        <w:rPr>
          <w:rStyle w:val="920"/>
          <w:rFonts w:ascii="宋体" w:hAnsi="宋体" w:eastAsia="宋体" w:cs="宋体"/>
          <w:color w:val="auto"/>
          <w:sz w:val="36"/>
          <w:szCs w:val="36"/>
          <w:highlight w:val="none"/>
        </w:rPr>
        <w:t xml:space="preserve"> </w:t>
      </w:r>
      <w:r/>
    </w:p>
    <w:p>
      <w:pPr>
        <w:pStyle w:val="1019"/>
        <w:jc w:val="center"/>
        <w:spacing w:before="360" w:after="360"/>
        <w:rPr>
          <w:rStyle w:val="920"/>
          <w:rFonts w:ascii="宋体" w:hAnsi="宋体" w:eastAsia="宋体" w:cs="宋体"/>
          <w:color w:val="auto"/>
          <w:sz w:val="36"/>
          <w:szCs w:val="36"/>
          <w:highlight w:val="none"/>
        </w:rPr>
      </w:pPr>
      <w:r>
        <w:rPr>
          <w:rStyle w:val="920"/>
          <w:rFonts w:ascii="宋体" w:hAnsi="宋体" w:eastAsia="宋体" w:cs="宋体"/>
          <w:color w:val="auto"/>
          <w:sz w:val="36"/>
          <w:szCs w:val="36"/>
          <w:highlight w:val="none"/>
        </w:rPr>
        <w:t xml:space="preserve"> </w:t>
      </w:r>
      <w:r/>
    </w:p>
    <w:p>
      <w:pPr>
        <w:pStyle w:val="1019"/>
        <w:spacing w:before="210" w:after="210"/>
        <w:rPr>
          <w:rStyle w:val="920"/>
          <w:color w:val="auto"/>
          <w:highlight w:val="none"/>
        </w:rPr>
      </w:pPr>
      <w:r>
        <w:rPr>
          <w:rStyle w:val="920"/>
          <w:rFonts w:ascii="宋体" w:hAnsi="宋体" w:eastAsia="宋体" w:cs="宋体"/>
          <w:color w:val="auto"/>
          <w:sz w:val="21"/>
          <w:szCs w:val="21"/>
          <w:highlight w:val="none"/>
        </w:rPr>
        <w:t xml:space="preserve"> 投标单位（加盖公章）：   </w:t>
      </w:r>
      <w:r>
        <w:rPr>
          <w:rStyle w:val="920"/>
          <w:color w:val="auto"/>
          <w:highlight w:val="none"/>
        </w:rPr>
        <w:br w:type="page" w:clear="all"/>
      </w:r>
      <w:r>
        <w:rPr>
          <w:rStyle w:val="920"/>
          <w:rFonts w:ascii="宋体" w:hAnsi="宋体" w:eastAsia="宋体" w:cs="宋体"/>
          <w:b/>
          <w:color w:val="auto"/>
          <w:sz w:val="28"/>
          <w:highlight w:val="none"/>
        </w:rPr>
        <w:t xml:space="preserve">  </w:t>
      </w:r>
      <w:r>
        <w:rPr>
          <w:rStyle w:val="920"/>
          <w:rFonts w:hint="eastAsia" w:ascii="宋体" w:hAnsi="宋体" w:eastAsia="宋体" w:cs="宋体"/>
          <w:b/>
          <w:color w:val="auto"/>
          <w:sz w:val="28"/>
          <w:highlight w:val="none"/>
        </w:rPr>
        <w:t xml:space="preserve">7.</w:t>
      </w:r>
      <w:r>
        <w:rPr>
          <w:rStyle w:val="920"/>
          <w:rFonts w:ascii="宋体" w:hAnsi="宋体" w:eastAsia="宋体" w:cs="宋体"/>
          <w:b/>
          <w:color w:val="auto"/>
          <w:highlight w:val="none"/>
        </w:rPr>
        <w:t xml:space="preserve">参加政府采购活动前3年内在经营活动中没有重大违法记录的书面声明</w:t>
      </w:r>
      <w:r/>
    </w:p>
    <w:p>
      <w:pPr>
        <w:pStyle w:val="997"/>
        <w:jc w:val="center"/>
        <w:spacing w:before="320" w:after="320"/>
        <w:rPr>
          <w:rStyle w:val="920"/>
          <w:rFonts w:ascii="宋体" w:hAnsi="宋体" w:eastAsia="宋体" w:cs="宋体"/>
          <w:b/>
          <w:bCs/>
          <w:color w:val="auto"/>
          <w:highlight w:val="none"/>
        </w:rPr>
      </w:pPr>
      <w:r>
        <w:rPr>
          <w:rStyle w:val="920"/>
          <w:rFonts w:ascii="宋体" w:hAnsi="宋体" w:eastAsia="宋体" w:cs="宋体"/>
          <w:b/>
          <w:bCs/>
          <w:color w:val="auto"/>
          <w:highlight w:val="none"/>
        </w:rPr>
        <w:t xml:space="preserve">参加政府采购活动前3年内在经营活动中没有重大违法记录的书面声明</w:t>
      </w:r>
      <w:r/>
    </w:p>
    <w:p>
      <w:pPr>
        <w:pStyle w:val="997"/>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97"/>
        <w:jc w:val="center"/>
        <w:spacing w:before="320" w:after="320"/>
        <w:rPr>
          <w:rStyle w:val="920"/>
          <w:rFonts w:ascii="宋体" w:hAnsi="宋体" w:eastAsia="宋体" w:cs="宋体"/>
          <w:b/>
          <w:bCs/>
          <w:color w:val="auto"/>
          <w:sz w:val="32"/>
          <w:szCs w:val="32"/>
          <w:highlight w:val="none"/>
        </w:rPr>
      </w:pPr>
      <w:r>
        <w:rPr>
          <w:rStyle w:val="920"/>
          <w:rFonts w:ascii="宋体" w:hAnsi="宋体" w:eastAsia="宋体" w:cs="宋体"/>
          <w:b/>
          <w:bCs/>
          <w:color w:val="auto"/>
          <w:sz w:val="32"/>
          <w:szCs w:val="32"/>
          <w:highlight w:val="none"/>
        </w:rPr>
        <w:t xml:space="preserve"> </w:t>
      </w:r>
      <w:r/>
    </w:p>
    <w:p>
      <w:pPr>
        <w:pStyle w:val="997"/>
        <w:jc w:val="center"/>
        <w:spacing w:before="320" w:after="320"/>
        <w:rPr>
          <w:rStyle w:val="920"/>
          <w:rFonts w:ascii="宋体" w:hAnsi="宋体" w:eastAsia="宋体" w:cs="宋体"/>
          <w:color w:val="auto"/>
          <w:sz w:val="32"/>
          <w:szCs w:val="32"/>
          <w:highlight w:val="none"/>
        </w:rPr>
      </w:pPr>
      <w:r>
        <w:rPr>
          <w:rStyle w:val="920"/>
          <w:rFonts w:ascii="宋体" w:hAnsi="宋体" w:eastAsia="宋体" w:cs="宋体"/>
          <w:color w:val="auto"/>
          <w:sz w:val="32"/>
          <w:szCs w:val="32"/>
          <w:highlight w:val="none"/>
        </w:rPr>
        <w:t xml:space="preserve">声明</w:t>
      </w:r>
      <w:r/>
    </w:p>
    <w:p>
      <w:pPr>
        <w:pStyle w:val="997"/>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97"/>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97"/>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97"/>
        <w:jc w:val="center"/>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97"/>
        <w:jc w:val="center"/>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97"/>
        <w:jc w:val="center"/>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w:t>
      </w:r>
      <w:r/>
    </w:p>
    <w:p>
      <w:pPr>
        <w:pStyle w:val="997"/>
        <w:spacing w:before="240" w:after="240"/>
        <w:rPr>
          <w:rStyle w:val="920"/>
          <w:rFonts w:ascii="宋体" w:hAnsi="宋体" w:eastAsia="宋体" w:cs="宋体"/>
          <w:color w:val="auto"/>
          <w:highlight w:val="none"/>
        </w:rPr>
      </w:pPr>
      <w:r>
        <w:rPr>
          <w:rStyle w:val="920"/>
          <w:rFonts w:ascii="宋体" w:hAnsi="宋体" w:eastAsia="宋体" w:cs="宋体"/>
          <w:color w:val="auto"/>
          <w:highlight w:val="none"/>
        </w:rPr>
        <w:t xml:space="preserve"> 投标单位（加盖公章）：   </w:t>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pStyle w:val="1028"/>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028"/>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028"/>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028"/>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028"/>
        <w:pageBreakBefore/>
        <w:spacing w:before="240" w:after="240"/>
        <w:rPr>
          <w:rFonts w:ascii="宋体" w:hAnsi="宋体" w:eastAsia="宋体" w:cs="宋体"/>
          <w:b/>
          <w:bCs/>
          <w:color w:val="auto"/>
          <w:highlight w:val="none"/>
        </w:rPr>
      </w:pPr>
      <w:r>
        <w:rPr>
          <w:rFonts w:hint="eastAsia" w:ascii="宋体" w:hAnsi="宋体" w:eastAsia="宋体" w:cs="宋体"/>
          <w:b/>
          <w:color w:val="auto"/>
          <w:sz w:val="28"/>
          <w:highlight w:val="none"/>
        </w:rPr>
        <w:t xml:space="preserve">8.</w:t>
      </w:r>
      <w:r>
        <w:rPr>
          <w:rFonts w:ascii="宋体" w:hAnsi="宋体" w:eastAsia="宋体" w:cs="宋体"/>
          <w:b/>
          <w:bCs/>
          <w:color w:val="auto"/>
          <w:highlight w:val="none"/>
        </w:rPr>
        <w:t xml:space="preserve">中小企业声明函</w:t>
      </w:r>
      <w:r/>
    </w:p>
    <w:p>
      <w:pPr>
        <w:pStyle w:val="102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中小企业声明函（服务）</w:t>
      </w:r>
      <w:r/>
    </w:p>
    <w:p>
      <w:pPr>
        <w:pStyle w:val="770"/>
        <w:ind w:firstLine="420"/>
        <w:rPr>
          <w:color w:val="auto"/>
          <w:szCs w:val="24"/>
          <w:highlight w:val="none"/>
        </w:rPr>
      </w:pPr>
      <w:r>
        <w:rPr>
          <w:rFonts w:cs="宋体"/>
          <w:color w:val="auto"/>
          <w:szCs w:val="24"/>
          <w:highlight w:val="none"/>
        </w:rPr>
        <w:t xml:space="preserve"> </w:t>
      </w:r>
      <w:r>
        <w:rPr>
          <w:rFonts w:hint="eastAsia"/>
          <w:color w:val="auto"/>
          <w:szCs w:val="24"/>
          <w:highlight w:val="none"/>
        </w:rPr>
        <w:t xml:space="preserve">本公司</w:t>
      </w:r>
      <w:r>
        <w:rPr>
          <w:rFonts w:hint="eastAsia"/>
          <w:color w:val="auto"/>
          <w:szCs w:val="24"/>
          <w:highlight w:val="none"/>
          <w:u w:val="single"/>
        </w:rPr>
        <w:t xml:space="preserve">（投标单位名称）</w:t>
      </w:r>
      <w:r>
        <w:rPr>
          <w:rFonts w:hint="eastAsia"/>
          <w:color w:val="auto"/>
          <w:szCs w:val="24"/>
          <w:highlight w:val="none"/>
        </w:rPr>
        <w:t xml:space="preserve">郑重声明，根据《政府采购促进中小企业发展管理办法》（财库〔2020〕46号）的规定，本公司参加</w:t>
      </w:r>
      <w:r>
        <w:rPr>
          <w:rFonts w:hint="eastAsia"/>
          <w:color w:val="auto"/>
          <w:szCs w:val="24"/>
          <w:highlight w:val="none"/>
          <w:u w:val="single"/>
        </w:rPr>
        <w:t xml:space="preserve">（单位名称）</w:t>
      </w:r>
      <w:r>
        <w:rPr>
          <w:rFonts w:hint="eastAsia"/>
          <w:color w:val="auto"/>
          <w:szCs w:val="24"/>
          <w:highlight w:val="none"/>
        </w:rPr>
        <w:t xml:space="preserve">的</w:t>
      </w:r>
      <w:r>
        <w:rPr>
          <w:rFonts w:hint="eastAsia"/>
          <w:color w:val="auto"/>
          <w:szCs w:val="24"/>
          <w:highlight w:val="none"/>
          <w:u w:val="single"/>
        </w:rPr>
        <w:t xml:space="preserve">（项目名称）</w:t>
      </w:r>
      <w:r>
        <w:rPr>
          <w:rFonts w:hint="eastAsia"/>
          <w:color w:val="auto"/>
          <w:szCs w:val="24"/>
          <w:highlight w:val="none"/>
        </w:rPr>
        <w:t xml:space="preserve">采购活动，服务全部由符合政策要求的中小企业承接。相关企业的具体情况如下：</w:t>
      </w:r>
      <w:r/>
    </w:p>
    <w:p>
      <w:pPr>
        <w:pStyle w:val="770"/>
        <w:ind w:firstLine="420"/>
        <w:rPr>
          <w:color w:val="auto"/>
          <w:szCs w:val="24"/>
          <w:highlight w:val="none"/>
        </w:rPr>
      </w:pPr>
      <w:r>
        <w:rPr>
          <w:rFonts w:hint="eastAsia"/>
          <w:color w:val="auto"/>
          <w:szCs w:val="24"/>
          <w:highlight w:val="none"/>
        </w:rPr>
        <w:t xml:space="preserve">1.</w:t>
      </w:r>
      <w:r>
        <w:rPr>
          <w:rFonts w:hint="eastAsia"/>
          <w:color w:val="auto"/>
          <w:szCs w:val="24"/>
          <w:highlight w:val="none"/>
          <w:u w:val="single"/>
        </w:rPr>
        <w:t xml:space="preserve">（项目名称）</w:t>
      </w:r>
      <w:r>
        <w:rPr>
          <w:rFonts w:hint="eastAsia"/>
          <w:color w:val="auto"/>
          <w:szCs w:val="24"/>
          <w:highlight w:val="none"/>
        </w:rPr>
        <w:t xml:space="preserve">，属于（</w:t>
      </w:r>
      <w:r>
        <w:rPr>
          <w:rFonts w:hint="eastAsia"/>
          <w:color w:val="auto"/>
          <w:szCs w:val="24"/>
          <w:highlight w:val="none"/>
          <w:u w:val="single"/>
        </w:rPr>
        <w:t xml:space="preserve">招标文件中明确的所属行业</w:t>
      </w:r>
      <w:r>
        <w:rPr>
          <w:rFonts w:hint="eastAsia"/>
          <w:color w:val="auto"/>
          <w:szCs w:val="24"/>
          <w:highlight w:val="none"/>
        </w:rPr>
        <w:t xml:space="preserve">）行业；承接企业为</w:t>
      </w:r>
      <w:r>
        <w:rPr>
          <w:rFonts w:hint="eastAsia"/>
          <w:color w:val="auto"/>
          <w:szCs w:val="24"/>
          <w:highlight w:val="none"/>
          <w:u w:val="single"/>
        </w:rPr>
        <w:t xml:space="preserve">（企业名称）</w:t>
      </w:r>
      <w:r>
        <w:rPr>
          <w:rFonts w:hint="eastAsia"/>
          <w:color w:val="auto"/>
          <w:szCs w:val="24"/>
          <w:highlight w:val="none"/>
        </w:rPr>
        <w:t xml:space="preserve">，从业人员</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人，营业收入为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万元，资产总额为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万元，属于（□中型企业、□小型企业、□微型企业）；</w:t>
      </w:r>
      <w:r/>
    </w:p>
    <w:p>
      <w:pPr>
        <w:pStyle w:val="770"/>
        <w:ind w:firstLine="420"/>
        <w:rPr>
          <w:color w:val="auto"/>
          <w:szCs w:val="24"/>
          <w:highlight w:val="none"/>
        </w:rPr>
      </w:pPr>
      <w:r>
        <w:rPr>
          <w:rFonts w:hint="eastAsia"/>
          <w:color w:val="auto"/>
          <w:szCs w:val="24"/>
          <w:highlight w:val="none"/>
        </w:rPr>
        <w:t xml:space="preserve">……</w:t>
      </w:r>
      <w:r/>
    </w:p>
    <w:p>
      <w:pPr>
        <w:pStyle w:val="770"/>
        <w:ind w:firstLine="420"/>
        <w:rPr>
          <w:color w:val="auto"/>
          <w:szCs w:val="24"/>
          <w:highlight w:val="none"/>
        </w:rPr>
      </w:pPr>
      <w:r>
        <w:rPr>
          <w:rFonts w:hint="eastAsia"/>
          <w:color w:val="auto"/>
          <w:szCs w:val="24"/>
          <w:highlight w:val="none"/>
        </w:rPr>
        <w:t xml:space="preserve">以上企业，不属于大企业的分支机构，不存在控股股东为大企业的情形，也不存在与大企业的负责人为同一人的情形。</w:t>
      </w:r>
      <w:r/>
    </w:p>
    <w:p>
      <w:pPr>
        <w:pStyle w:val="770"/>
        <w:ind w:firstLine="420"/>
        <w:rPr>
          <w:color w:val="auto"/>
          <w:szCs w:val="24"/>
          <w:highlight w:val="none"/>
        </w:rPr>
      </w:pPr>
      <w:r>
        <w:rPr>
          <w:rFonts w:hint="eastAsia"/>
          <w:color w:val="auto"/>
          <w:szCs w:val="24"/>
          <w:highlight w:val="none"/>
        </w:rPr>
        <w:t xml:space="preserve">本企业对上述声明内容的真实性负责。如有虚假，将依法承担相应责任。</w:t>
      </w:r>
      <w:r/>
    </w:p>
    <w:p>
      <w:pPr>
        <w:pStyle w:val="770"/>
        <w:ind w:firstLine="420"/>
        <w:rPr>
          <w:color w:val="auto"/>
          <w:szCs w:val="24"/>
          <w:highlight w:val="none"/>
        </w:rPr>
      </w:pPr>
      <w:r>
        <w:rPr>
          <w:color w:val="auto"/>
          <w:szCs w:val="24"/>
          <w:highlight w:val="none"/>
        </w:rPr>
      </w:r>
      <w:r/>
    </w:p>
    <w:p>
      <w:pPr>
        <w:pStyle w:val="770"/>
        <w:ind w:firstLine="420"/>
        <w:rPr>
          <w:color w:val="auto"/>
          <w:szCs w:val="24"/>
          <w:highlight w:val="none"/>
        </w:rPr>
      </w:pPr>
      <w:r>
        <w:rPr>
          <w:rFonts w:hint="eastAsia"/>
          <w:color w:val="auto"/>
          <w:szCs w:val="24"/>
          <w:highlight w:val="none"/>
        </w:rPr>
        <w:t xml:space="preserve"> </w:t>
      </w:r>
      <w:r>
        <w:rPr>
          <w:color w:val="auto"/>
          <w:szCs w:val="24"/>
          <w:highlight w:val="none"/>
        </w:rPr>
        <w:t xml:space="preserve">                                         </w:t>
      </w:r>
      <w:r>
        <w:rPr>
          <w:rFonts w:hint="eastAsia"/>
          <w:color w:val="auto"/>
          <w:szCs w:val="24"/>
          <w:highlight w:val="none"/>
        </w:rPr>
        <w:t xml:space="preserve">    供应商名称</w:t>
      </w:r>
      <w:r>
        <w:rPr>
          <w:color w:val="auto"/>
          <w:szCs w:val="24"/>
          <w:highlight w:val="none"/>
        </w:rPr>
        <w:t xml:space="preserve">：（公章）</w:t>
      </w:r>
      <w:r>
        <w:rPr>
          <w:rFonts w:hint="eastAsia"/>
          <w:color w:val="auto"/>
          <w:szCs w:val="24"/>
          <w:highlight w:val="none"/>
        </w:rPr>
        <w:t xml:space="preserve"> </w:t>
      </w:r>
      <w:r/>
    </w:p>
    <w:p>
      <w:pPr>
        <w:pStyle w:val="770"/>
        <w:ind w:firstLine="420"/>
        <w:jc w:val="right"/>
        <w:rPr>
          <w:color w:val="auto"/>
          <w:szCs w:val="24"/>
          <w:highlight w:val="none"/>
        </w:rPr>
      </w:pPr>
      <w:r>
        <w:rPr>
          <w:rFonts w:hint="eastAsia"/>
          <w:color w:val="auto"/>
          <w:szCs w:val="24"/>
          <w:highlight w:val="none"/>
        </w:rPr>
        <w:t xml:space="preserve"> 日    期：     年     月    日</w:t>
      </w:r>
      <w:r/>
    </w:p>
    <w:p>
      <w:pPr>
        <w:pStyle w:val="770"/>
        <w:ind w:firstLine="420"/>
        <w:rPr>
          <w:color w:val="auto"/>
          <w:szCs w:val="24"/>
          <w:highlight w:val="none"/>
        </w:rPr>
      </w:pPr>
      <w:r>
        <w:rPr>
          <w:color w:val="auto"/>
          <w:szCs w:val="24"/>
          <w:highlight w:val="none"/>
        </w:rPr>
      </w:r>
      <w:r/>
    </w:p>
    <w:p>
      <w:pPr>
        <w:pStyle w:val="939"/>
        <w:ind w:firstLine="480"/>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注：供应商对照《关于印发中小企业划型标准规定的通知》（工信部联企业</w:t>
      </w:r>
      <w:r>
        <w:rPr>
          <w:rStyle w:val="933"/>
          <w:rFonts w:hint="eastAsia" w:ascii="宋体" w:hAnsi="宋体" w:eastAsia="宋体" w:cs="宋体"/>
          <w:color w:val="auto"/>
          <w:sz w:val="24"/>
          <w:szCs w:val="24"/>
          <w:highlight w:val="none"/>
        </w:rPr>
        <w:t xml:space="preserve">〔2011〕300号</w:t>
      </w:r>
      <w:r>
        <w:rPr>
          <w:rStyle w:val="933"/>
          <w:rFonts w:ascii="宋体" w:hAnsi="宋体" w:eastAsia="宋体" w:cs="宋体"/>
          <w:color w:val="auto"/>
          <w:sz w:val="24"/>
          <w:szCs w:val="24"/>
          <w:highlight w:val="none"/>
        </w:rPr>
        <w:t xml:space="preserve">）中的标准，明确标的承接企业所属企业类型。</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p>
    <w:p>
      <w:pPr>
        <w:pStyle w:val="939"/>
        <w:ind w:firstLine="720"/>
        <w:spacing w:before="240" w:after="240"/>
        <w:rPr>
          <w:rStyle w:val="933"/>
          <w:rFonts w:ascii="宋体" w:hAnsi="宋体" w:eastAsia="宋体" w:cs="宋体"/>
          <w:color w:val="auto"/>
          <w:sz w:val="24"/>
          <w:szCs w:val="24"/>
          <w:highlight w:val="none"/>
        </w:rPr>
        <w:outlineLvl w:val="2"/>
      </w:pPr>
      <w:r>
        <w:rPr>
          <w:rFonts w:hint="eastAsia" w:ascii="宋体" w:hAnsi="宋体" w:eastAsia="宋体" w:cs="宋体"/>
          <w:color w:val="auto"/>
          <w:highlight w:val="none"/>
        </w:rPr>
        <w:t xml:space="preserve">3.本项目所属行业：</w:t>
      </w:r>
      <w:r>
        <w:rPr>
          <w:rFonts w:hint="eastAsia" w:ascii="宋体" w:hAnsi="宋体" w:eastAsia="宋体" w:cs="宋体"/>
          <w:b/>
          <w:bCs/>
          <w:color w:val="auto"/>
          <w:highlight w:val="none"/>
        </w:rPr>
        <w:t xml:space="preserve">其他未列明行业</w:t>
      </w:r>
      <w:r>
        <w:rPr>
          <w:rFonts w:hint="eastAsia" w:ascii="宋体" w:hAnsi="宋体" w:eastAsia="宋体" w:cs="宋体"/>
          <w:color w:val="auto"/>
          <w:highlight w:val="none"/>
        </w:rPr>
        <w:t xml:space="preserve">。</w:t>
      </w:r>
      <w:r/>
    </w:p>
    <w:p>
      <w:pPr>
        <w:pStyle w:val="939"/>
        <w:spacing w:before="240" w:after="240"/>
        <w:rPr>
          <w:rStyle w:val="933"/>
          <w:rFonts w:ascii="宋体" w:hAnsi="宋体" w:eastAsia="宋体" w:cs="宋体"/>
          <w:color w:val="auto"/>
          <w:sz w:val="24"/>
          <w:szCs w:val="24"/>
          <w:highlight w:val="none"/>
        </w:rPr>
        <w:outlineLvl w:val="1"/>
      </w:pPr>
      <w:r>
        <w:rPr>
          <w:rStyle w:val="933"/>
          <w:rFonts w:ascii="宋体" w:hAnsi="宋体" w:eastAsia="宋体" w:cs="宋体"/>
          <w:color w:val="auto"/>
          <w:sz w:val="24"/>
          <w:szCs w:val="24"/>
          <w:highlight w:val="none"/>
        </w:rPr>
        <w:t xml:space="preserve">附：中小企业划型标准规定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39"/>
        <w:spacing w:before="240" w:after="240"/>
        <w:rPr>
          <w:rStyle w:val="933"/>
          <w:rFonts w:ascii="宋体" w:hAnsi="宋体" w:eastAsia="宋体" w:cs="宋体"/>
          <w:color w:val="auto"/>
          <w:sz w:val="24"/>
          <w:szCs w:val="24"/>
          <w:highlight w:val="none"/>
        </w:rPr>
      </w:pPr>
      <w:r>
        <w:rPr>
          <w:rStyle w:val="933"/>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28"/>
        <w:spacing w:before="240" w:after="240"/>
        <w:rPr>
          <w:rFonts w:ascii="宋体" w:hAnsi="宋体" w:eastAsia="宋体" w:cs="宋体"/>
          <w:color w:val="auto"/>
          <w:highlight w:val="none"/>
        </w:rPr>
      </w:pPr>
      <w:r>
        <w:rPr>
          <w:rStyle w:val="933"/>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33"/>
          <w:rFonts w:hint="eastAsia" w:ascii="宋体" w:hAnsi="宋体" w:eastAsia="宋体" w:cs="宋体"/>
          <w:color w:val="auto"/>
          <w:sz w:val="24"/>
          <w:szCs w:val="24"/>
          <w:highlight w:val="none"/>
        </w:rPr>
        <w:t xml:space="preserve">。</w:t>
      </w:r>
      <w:r/>
    </w:p>
    <w:p>
      <w:pPr>
        <w:pStyle w:val="992"/>
        <w:rPr>
          <w:color w:val="auto"/>
          <w:highlight w:val="none"/>
        </w:rPr>
      </w:pPr>
      <w:r>
        <w:rPr>
          <w:color w:val="auto"/>
          <w:highlight w:val="none"/>
        </w:rPr>
        <w:br w:type="page" w:clear="all"/>
      </w:r>
      <w:r/>
    </w:p>
    <w:p>
      <w:pPr>
        <w:pStyle w:val="945"/>
        <w:jc w:val="center"/>
        <w:pageBreakBefore/>
        <w:spacing w:before="320" w:after="320"/>
        <w:rPr>
          <w:rFonts w:ascii="宋体" w:hAnsi="宋体" w:eastAsia="宋体" w:cs="宋体"/>
          <w:color w:val="auto"/>
          <w:highlight w:val="none"/>
        </w:rPr>
      </w:pPr>
      <w:r>
        <w:rPr>
          <w:rFonts w:ascii="宋体" w:hAnsi="宋体" w:eastAsia="宋体" w:cs="宋体"/>
          <w:color w:val="auto"/>
          <w:highlight w:val="none"/>
        </w:rPr>
        <w:t xml:space="preserve">﻿ 残疾人福利性单位声明函</w:t>
      </w:r>
      <w:r/>
    </w:p>
    <w:p>
      <w:pPr>
        <w:pStyle w:val="94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项目</w:t>
      </w:r>
      <w:r>
        <w:rPr>
          <w:rFonts w:ascii="宋体" w:hAnsi="宋体" w:eastAsia="宋体" w:cs="宋体"/>
          <w:color w:val="auto"/>
          <w:highlight w:val="none"/>
        </w:rPr>
        <w:t xml:space="preserve">采购活动提供本单位制造的货物（由本单位承担工程/提供服务），或者提供其他残疾人福利性单位制造的货物（不包括使用非残疾人福利性单位注册商标的货物）。 </w:t>
      </w:r>
      <w:r/>
    </w:p>
    <w:p>
      <w:pPr>
        <w:pStyle w:val="945"/>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945"/>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945"/>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945"/>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945"/>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45"/>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w:t>
      </w:r>
      <w:r>
        <w:rPr>
          <w:rFonts w:hint="eastAsia" w:ascii="宋体" w:hAnsi="宋体" w:eastAsia="宋体" w:cs="宋体"/>
          <w:color w:val="auto"/>
          <w:highlight w:val="none"/>
        </w:rPr>
        <w:t xml:space="preserve">中华人民共和国政府采购法</w:t>
      </w:r>
      <w:r>
        <w:rPr>
          <w:rFonts w:ascii="宋体" w:hAnsi="宋体" w:eastAsia="宋体" w:cs="宋体"/>
          <w:color w:val="auto"/>
          <w:highlight w:val="none"/>
        </w:rPr>
        <w:t xml:space="preserve">》第七十七条第一款的规定追究法律责任。</w:t>
      </w:r>
      <w:r/>
    </w:p>
    <w:p>
      <w:pPr>
        <w:pStyle w:val="945"/>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945"/>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若供应商对照《关于促进残疾人就业政府采购政策的通知》（财库〔2017〕141号）中的规定，明确不符合残疾人福利性单位条件的，则无需提供此声明函。 </w:t>
      </w:r>
      <w:r/>
    </w:p>
    <w:p>
      <w:pPr>
        <w:pStyle w:val="969"/>
        <w:rPr>
          <w:color w:val="auto"/>
          <w:highlight w:val="none"/>
        </w:rPr>
      </w:pPr>
      <w:r>
        <w:rPr>
          <w:color w:val="auto"/>
          <w:highlight w:val="none"/>
        </w:rPr>
        <w:br w:type="page" w:clear="all"/>
      </w:r>
      <w:r/>
    </w:p>
    <w:p>
      <w:pPr>
        <w:pStyle w:val="973"/>
        <w:jc w:val="center"/>
        <w:pageBreakBefore/>
        <w:rPr>
          <w:color w:val="auto"/>
          <w:sz w:val="24"/>
          <w:szCs w:val="24"/>
          <w:highlight w:val="none"/>
        </w:rPr>
      </w:pPr>
      <w:r>
        <w:rPr>
          <w:rFonts w:hint="eastAsia"/>
          <w:color w:val="auto"/>
          <w:sz w:val="24"/>
          <w:szCs w:val="24"/>
          <w:highlight w:val="none"/>
        </w:rPr>
        <w:t xml:space="preserve">监狱企业的证明文件</w:t>
      </w:r>
      <w:r/>
    </w:p>
    <w:p>
      <w:pPr>
        <w:pStyle w:val="973"/>
        <w:rPr>
          <w:rFonts w:ascii="等线" w:hAnsi="等线" w:eastAsia="等线"/>
          <w:color w:val="auto"/>
          <w:sz w:val="24"/>
          <w:szCs w:val="24"/>
          <w:highlight w:val="none"/>
        </w:rPr>
      </w:pPr>
      <w:r>
        <w:rPr>
          <w:rFonts w:ascii="等线" w:hAnsi="等线" w:eastAsia="等线"/>
          <w:color w:val="auto"/>
          <w:sz w:val="24"/>
          <w:szCs w:val="24"/>
          <w:highlight w:val="none"/>
        </w:rPr>
      </w:r>
      <w:r/>
    </w:p>
    <w:p>
      <w:pPr>
        <w:pStyle w:val="973"/>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3"/>
        <w:rPr>
          <w:rFonts w:ascii="等线" w:hAnsi="等线" w:eastAsia="等线"/>
          <w:color w:val="auto"/>
          <w:highlight w:val="none"/>
        </w:rPr>
      </w:pPr>
      <w:r>
        <w:rPr>
          <w:rFonts w:hint="eastAsia" w:ascii="等线" w:hAnsi="等线" w:eastAsia="等线"/>
          <w:color w:val="auto"/>
          <w:highlight w:val="none"/>
        </w:rPr>
        <w:t xml:space="preserve">      </w:t>
      </w:r>
      <w:r/>
    </w:p>
    <w:p>
      <w:pPr>
        <w:pStyle w:val="973"/>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973"/>
        <w:rPr>
          <w:rFonts w:ascii="等线" w:hAnsi="等线" w:eastAsia="等线"/>
          <w:color w:val="auto"/>
          <w:highlight w:val="none"/>
        </w:rPr>
      </w:pPr>
      <w:r>
        <w:rPr>
          <w:rFonts w:ascii="等线" w:hAnsi="等线" w:eastAsia="等线"/>
          <w:color w:val="auto"/>
          <w:highlight w:val="none"/>
        </w:rPr>
      </w:r>
      <w:r/>
    </w:p>
    <w:p>
      <w:pPr>
        <w:pStyle w:val="973"/>
        <w:rPr>
          <w:color w:val="auto"/>
          <w:highlight w:val="none"/>
        </w:rPr>
      </w:pPr>
      <w:r>
        <w:rPr>
          <w:rFonts w:hint="eastAsia"/>
          <w:color w:val="auto"/>
          <w:highlight w:val="none"/>
        </w:rPr>
        <w:t xml:space="preserve"> </w:t>
      </w:r>
      <w:r/>
    </w:p>
    <w:p>
      <w:pPr>
        <w:spacing w:line="360" w:lineRule="auto"/>
        <w:rPr>
          <w:rFonts w:ascii="宋体" w:hAnsi="宋体"/>
          <w:b/>
          <w:bCs/>
          <w:color w:val="auto"/>
          <w:sz w:val="20"/>
          <w:szCs w:val="32"/>
          <w:highlight w:val="none"/>
        </w:rPr>
      </w:pPr>
      <w:r>
        <w:rPr>
          <w:rFonts w:ascii="宋体" w:hAnsi="宋体"/>
          <w:b/>
          <w:bCs/>
          <w:color w:val="auto"/>
          <w:sz w:val="20"/>
          <w:szCs w:val="32"/>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rPr>
          <w:rStyle w:val="920"/>
          <w:rFonts w:ascii="宋体" w:hAnsi="宋体" w:eastAsia="宋体" w:cs="宋体"/>
          <w:b/>
          <w:color w:val="auto"/>
          <w:highlight w:val="none"/>
        </w:rPr>
      </w:pPr>
      <w:r>
        <w:rPr>
          <w:rFonts w:ascii="宋体" w:hAnsi="宋体" w:eastAsia="宋体" w:cs="宋体"/>
          <w:b/>
          <w:color w:val="auto"/>
          <w:highlight w:val="none"/>
        </w:rPr>
      </w:r>
      <w:r/>
    </w:p>
    <w:p>
      <w:pPr>
        <w:pStyle w:val="974"/>
        <w:pageBreakBefore/>
        <w:rPr>
          <w:rStyle w:val="920"/>
          <w:rFonts w:ascii="宋体" w:hAnsi="宋体" w:eastAsia="宋体" w:cs="宋体"/>
          <w:color w:val="auto"/>
          <w:highlight w:val="none"/>
        </w:rPr>
        <w:outlineLvl w:val="1"/>
      </w:pPr>
      <w:r/>
      <w:bookmarkStart w:id="201" w:name="_Toc5189"/>
      <w:r/>
      <w:bookmarkStart w:id="202" w:name="_Toc23645"/>
      <w:r/>
      <w:bookmarkStart w:id="203" w:name="_Toc256000019"/>
      <w:r>
        <w:rPr>
          <w:rStyle w:val="920"/>
          <w:rFonts w:hint="eastAsia" w:ascii="宋体" w:hAnsi="宋体" w:eastAsia="宋体" w:cs="宋体"/>
          <w:b/>
          <w:color w:val="auto"/>
          <w:highlight w:val="none"/>
        </w:rPr>
        <w:t xml:space="preserve">六、符合性条款响应及偏离表</w:t>
      </w:r>
      <w:bookmarkEnd w:id="201"/>
      <w:r/>
      <w:bookmarkEnd w:id="202"/>
      <w:r/>
      <w:bookmarkEnd w:id="203"/>
      <w:r/>
      <w:r/>
    </w:p>
    <w:p>
      <w:pPr>
        <w:pStyle w:val="1021"/>
        <w:jc w:val="center"/>
        <w:spacing w:before="320" w:after="320" w:line="300" w:lineRule="auto"/>
        <w:rPr>
          <w:rStyle w:val="920"/>
          <w:rFonts w:ascii="宋体" w:hAnsi="宋体" w:eastAsia="宋体" w:cs="宋体"/>
          <w:b/>
          <w:bCs/>
          <w:color w:val="auto"/>
          <w:highlight w:val="none"/>
        </w:rPr>
        <w:outlineLvl w:val="2"/>
      </w:pPr>
      <w:r>
        <w:rPr>
          <w:rStyle w:val="920"/>
          <w:rFonts w:hint="eastAsia" w:ascii="宋体" w:hAnsi="宋体" w:eastAsia="宋体" w:cs="宋体"/>
          <w:b/>
          <w:bCs/>
          <w:color w:val="auto"/>
          <w:highlight w:val="none"/>
        </w:rPr>
        <w:t xml:space="preserve">符合性条款响应及偏离表 </w:t>
      </w:r>
      <w:r/>
    </w:p>
    <w:p>
      <w:pPr>
        <w:pStyle w:val="1021"/>
        <w:spacing w:before="240" w:after="240"/>
        <w:rPr>
          <w:rFonts w:ascii="宋体" w:hAnsi="宋体" w:eastAsia="宋体" w:cs="宋体"/>
          <w:b/>
          <w:bCs/>
          <w:color w:val="auto"/>
          <w:highlight w:val="none"/>
        </w:rPr>
      </w:pPr>
      <w:r>
        <w:rPr>
          <w:rStyle w:val="920"/>
          <w:rFonts w:ascii="宋体" w:hAnsi="宋体" w:eastAsia="宋体" w:cs="宋体"/>
          <w:color w:val="auto"/>
          <w:highlight w:val="none"/>
        </w:rPr>
        <w:t xml:space="preserve">  </w:t>
      </w:r>
      <w:r>
        <w:rPr>
          <w:rFonts w:hint="eastAsia" w:ascii="宋体" w:hAnsi="宋体" w:eastAsia="宋体" w:cs="宋体"/>
          <w:b/>
          <w:bCs/>
          <w:color w:val="auto"/>
          <w:highlight w:val="none"/>
        </w:rPr>
        <w:t xml:space="preserve">1、技术要求的实质性格式</w:t>
      </w:r>
      <w:r>
        <w:rPr>
          <w:rFonts w:ascii="宋体" w:hAnsi="宋体" w:eastAsia="宋体" w:cs="宋体"/>
          <w:b/>
          <w:bCs/>
          <w:color w:val="auto"/>
          <w:highlight w:val="none"/>
        </w:rPr>
        <w:t xml:space="preserve"> </w:t>
      </w:r>
      <w:r/>
    </w:p>
    <w:tbl>
      <w:tblPr>
        <w:tblStyle w:val="725"/>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689" w:type="dxa"/>
            <w:vAlign w:val="center"/>
            <w:textDirection w:val="lrTb"/>
            <w:noWrap w:val="false"/>
          </w:tcPr>
          <w:p>
            <w:pPr>
              <w:pStyle w:val="1016"/>
              <w:jc w:val="center"/>
              <w:rPr>
                <w:rFonts w:ascii="宋体" w:hAnsi="宋体" w:eastAsia="宋体" w:cs="宋体"/>
                <w:color w:val="auto"/>
                <w:highlight w:val="none"/>
              </w:rPr>
            </w:pPr>
            <w:r/>
            <w:bookmarkStart w:id="204" w:name="OLE_LINK16"/>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016"/>
              <w:jc w:val="center"/>
              <w:rPr>
                <w:rFonts w:ascii="宋体" w:hAnsi="宋体" w:eastAsia="宋体" w:cs="宋体"/>
                <w:color w:val="auto"/>
                <w:highlight w:val="none"/>
              </w:rPr>
            </w:pPr>
            <w:r>
              <w:rPr>
                <w:rFonts w:hint="eastAsia" w:ascii="宋体" w:hAnsi="宋体"/>
                <w:i/>
                <w:color w:val="auto"/>
                <w:highlight w:val="none"/>
                <w:u w:val="single"/>
              </w:rPr>
              <w:t xml:space="preserve">（招标文件第四章技术要求中的加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204"/>
            <w:r/>
            <w:r/>
          </w:p>
        </w:tc>
        <w:tc>
          <w:tcPr>
            <w:tcMar>
              <w:left w:w="0" w:type="dxa"/>
              <w:top w:w="0" w:type="dxa"/>
              <w:right w:w="0" w:type="dxa"/>
              <w:bottom w:w="0" w:type="dxa"/>
            </w:tcMar>
            <w:tcW w:w="1170" w:type="dxa"/>
            <w:vAlign w:val="center"/>
            <w:textDirection w:val="lrTb"/>
            <w:noWrap w:val="false"/>
          </w:tcPr>
          <w:p>
            <w:pPr>
              <w:pStyle w:val="1016"/>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1016"/>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689" w:type="dxa"/>
            <w:vAlign w:val="center"/>
            <w:textDirection w:val="lrTb"/>
            <w:noWrap w:val="false"/>
          </w:tcPr>
          <w:p>
            <w:pPr>
              <w:pStyle w:val="1016"/>
              <w:jc w:val="center"/>
              <w:rPr>
                <w:rFonts w:ascii="宋体" w:hAnsi="宋体"/>
                <w:i/>
                <w:color w:val="auto"/>
                <w:highlight w:val="none"/>
                <w:u w:val="single"/>
              </w:rPr>
            </w:pPr>
            <w:r>
              <w:rPr>
                <w:rFonts w:ascii="宋体" w:hAnsi="宋体"/>
                <w:i/>
                <w:color w:val="auto"/>
                <w:highlight w:val="none"/>
                <w:u w:val="single"/>
              </w:rPr>
            </w:r>
            <w:r/>
          </w:p>
        </w:tc>
        <w:tc>
          <w:tcPr>
            <w:tcMar>
              <w:left w:w="0" w:type="dxa"/>
              <w:top w:w="0" w:type="dxa"/>
              <w:right w:w="0" w:type="dxa"/>
              <w:bottom w:w="0" w:type="dxa"/>
            </w:tcMar>
            <w:tcW w:w="1170"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689" w:type="dxa"/>
            <w:vAlign w:val="center"/>
            <w:textDirection w:val="lrTb"/>
            <w:noWrap w:val="false"/>
          </w:tcPr>
          <w:p>
            <w:pPr>
              <w:pStyle w:val="1016"/>
              <w:jc w:val="center"/>
              <w:rPr>
                <w:rFonts w:ascii="宋体" w:hAnsi="宋体"/>
                <w:i/>
                <w:color w:val="auto"/>
                <w:highlight w:val="none"/>
                <w:u w:val="single"/>
              </w:rPr>
            </w:pPr>
            <w:r>
              <w:rPr>
                <w:rFonts w:ascii="宋体" w:hAnsi="宋体"/>
                <w:i/>
                <w:color w:val="auto"/>
                <w:highlight w:val="none"/>
                <w:u w:val="single"/>
              </w:rPr>
            </w:r>
            <w:r/>
          </w:p>
        </w:tc>
        <w:tc>
          <w:tcPr>
            <w:tcMar>
              <w:left w:w="0" w:type="dxa"/>
              <w:top w:w="0" w:type="dxa"/>
              <w:right w:w="0" w:type="dxa"/>
              <w:bottom w:w="0" w:type="dxa"/>
            </w:tcMar>
            <w:tcW w:w="1170"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r>
    </w:tbl>
    <w:p>
      <w:pPr>
        <w:jc w:val="left"/>
        <w:rPr>
          <w:rFonts w:ascii="宋体" w:hAnsi="宋体" w:cs="宋体"/>
          <w:b/>
          <w:color w:val="auto"/>
          <w:sz w:val="28"/>
          <w:szCs w:val="24"/>
          <w:highlight w:val="none"/>
        </w:rPr>
      </w:pPr>
      <w:r>
        <w:rPr>
          <w:rFonts w:ascii="宋体" w:hAnsi="宋体" w:cs="宋体"/>
          <w:b/>
          <w:color w:val="auto"/>
          <w:sz w:val="28"/>
          <w:szCs w:val="24"/>
          <w:highlight w:val="none"/>
        </w:rPr>
      </w:r>
      <w:r/>
    </w:p>
    <w:p>
      <w:pPr>
        <w:pStyle w:val="957"/>
        <w:rPr>
          <w:rFonts w:ascii="宋体" w:hAnsi="宋体" w:eastAsia="宋体" w:cs="宋体"/>
          <w:b/>
          <w:color w:val="auto"/>
          <w:sz w:val="28"/>
          <w:highlight w:val="none"/>
        </w:rPr>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pPr>
      <w:r>
        <w:rPr>
          <w:rFonts w:ascii="宋体" w:hAnsi="宋体" w:eastAsia="宋体" w:cs="宋体"/>
          <w:b/>
          <w:color w:val="auto"/>
          <w:sz w:val="28"/>
          <w:highlight w:val="none"/>
        </w:rPr>
      </w:r>
      <w:r/>
    </w:p>
    <w:p>
      <w:pPr>
        <w:pStyle w:val="1016"/>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2、商务条款的实质性格式</w:t>
      </w:r>
      <w:r>
        <w:rPr>
          <w:rFonts w:ascii="宋体" w:hAnsi="宋体" w:eastAsia="宋体" w:cs="宋体"/>
          <w:b/>
          <w:bCs/>
          <w:color w:val="auto"/>
          <w:highlight w:val="none"/>
        </w:rPr>
        <w:t xml:space="preserve"> </w:t>
      </w:r>
      <w:r/>
    </w:p>
    <w:tbl>
      <w:tblPr>
        <w:tblStyle w:val="725"/>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690"/>
        <w:gridCol w:w="1155"/>
        <w:gridCol w:w="1302"/>
      </w:tblGrid>
      <w:tr>
        <w:trPr>
          <w:trHeight w:val="686"/>
        </w:trPr>
        <w:tc>
          <w:tcPr>
            <w:tcMar>
              <w:left w:w="0" w:type="dxa"/>
              <w:top w:w="0" w:type="dxa"/>
              <w:right w:w="0" w:type="dxa"/>
              <w:bottom w:w="0" w:type="dxa"/>
            </w:tcMar>
            <w:tcW w:w="613"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690" w:type="dxa"/>
            <w:vAlign w:val="center"/>
            <w:textDirection w:val="lrTb"/>
            <w:noWrap w:val="false"/>
          </w:tcPr>
          <w:p>
            <w:pPr>
              <w:pStyle w:val="1016"/>
              <w:jc w:val="center"/>
              <w:rPr>
                <w:rFonts w:ascii="宋体" w:hAnsi="宋体" w:eastAsia="宋体" w:cs="宋体"/>
                <w:color w:val="auto"/>
                <w:highlight w:val="none"/>
              </w:rPr>
            </w:pPr>
            <w:r/>
            <w:bookmarkStart w:id="205" w:name="OLE_LINK15"/>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016"/>
              <w:rPr>
                <w:rFonts w:ascii="宋体" w:hAnsi="宋体" w:eastAsia="宋体" w:cs="宋体"/>
                <w:color w:val="auto"/>
                <w:highlight w:val="none"/>
              </w:rPr>
            </w:pPr>
            <w:r>
              <w:rPr>
                <w:rFonts w:hint="eastAsia" w:ascii="宋体" w:hAnsi="宋体"/>
                <w:i/>
                <w:iCs/>
                <w:color w:val="auto"/>
                <w:highlight w:val="none"/>
                <w:u w:val="single"/>
              </w:rPr>
              <w:t xml:space="preserve">（招标文件第四章</w:t>
            </w:r>
            <w:r>
              <w:rPr>
                <w:rFonts w:hint="eastAsia" w:ascii="宋体" w:hAnsi="宋体" w:eastAsia="宋体" w:cs="宋体"/>
                <w:i/>
                <w:iCs/>
                <w:color w:val="auto"/>
                <w:highlight w:val="none"/>
                <w:u w:val="single"/>
              </w:rPr>
              <w:t xml:space="preserve">商务条款</w:t>
            </w:r>
            <w:r>
              <w:rPr>
                <w:rFonts w:hint="eastAsia" w:ascii="宋体" w:hAnsi="宋体"/>
                <w:i/>
                <w:iCs/>
                <w:color w:val="auto"/>
                <w:highlight w:val="none"/>
                <w:u w:val="single"/>
              </w:rPr>
              <w:t xml:space="preserve">中的加</w:t>
            </w:r>
            <w:r>
              <w:rPr>
                <w:rFonts w:ascii="宋体" w:hAnsi="宋体"/>
                <w:i/>
                <w:iCs/>
                <w:color w:val="auto"/>
                <w:highlight w:val="none"/>
                <w:u w:val="single"/>
              </w:rPr>
              <w:t xml:space="preserve">斜体下划线内容</w:t>
            </w:r>
            <w:r>
              <w:rPr>
                <w:rFonts w:hint="eastAsia" w:ascii="宋体" w:hAnsi="宋体"/>
                <w:i/>
                <w:iCs/>
                <w:color w:val="auto"/>
                <w:highlight w:val="none"/>
                <w:u w:val="single"/>
              </w:rPr>
              <w:t xml:space="preserve">）</w:t>
            </w:r>
            <w:bookmarkEnd w:id="205"/>
            <w:r/>
            <w:r/>
          </w:p>
        </w:tc>
        <w:tc>
          <w:tcPr>
            <w:tcMar>
              <w:left w:w="0" w:type="dxa"/>
              <w:top w:w="0" w:type="dxa"/>
              <w:right w:w="0" w:type="dxa"/>
              <w:bottom w:w="0" w:type="dxa"/>
            </w:tcMar>
            <w:tcW w:w="1155" w:type="dxa"/>
            <w:vAlign w:val="center"/>
            <w:textDirection w:val="lrTb"/>
            <w:noWrap w:val="false"/>
          </w:tcPr>
          <w:p>
            <w:pPr>
              <w:pStyle w:val="1016"/>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302" w:type="dxa"/>
            <w:vAlign w:val="center"/>
            <w:textDirection w:val="lrTb"/>
            <w:noWrap w:val="false"/>
          </w:tcPr>
          <w:p>
            <w:pPr>
              <w:pStyle w:val="1016"/>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686"/>
        </w:trPr>
        <w:tc>
          <w:tcPr>
            <w:tcMar>
              <w:left w:w="0" w:type="dxa"/>
              <w:top w:w="0" w:type="dxa"/>
              <w:right w:w="0" w:type="dxa"/>
              <w:bottom w:w="0" w:type="dxa"/>
            </w:tcMar>
            <w:tcW w:w="613"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690" w:type="dxa"/>
            <w:vAlign w:val="center"/>
            <w:textDirection w:val="lrTb"/>
            <w:noWrap w:val="false"/>
          </w:tcPr>
          <w:p>
            <w:pPr>
              <w:pStyle w:val="1016"/>
              <w:rPr>
                <w:rFonts w:hint="eastAsia" w:ascii="宋体" w:hAnsi="宋体"/>
                <w:i/>
                <w:iCs/>
                <w:color w:val="auto"/>
                <w:highlight w:val="none"/>
                <w:u w:val="single"/>
              </w:rPr>
            </w:pPr>
            <w:r>
              <w:rPr>
                <w:rFonts w:hint="eastAsia" w:ascii="宋体" w:hAnsi="宋体"/>
                <w:i/>
                <w:iCs/>
                <w:color w:val="auto"/>
                <w:highlight w:val="none"/>
                <w:u w:val="single"/>
              </w:rPr>
            </w:r>
            <w:r/>
          </w:p>
        </w:tc>
        <w:tc>
          <w:tcPr>
            <w:tcMar>
              <w:left w:w="0" w:type="dxa"/>
              <w:top w:w="0" w:type="dxa"/>
              <w:right w:w="0" w:type="dxa"/>
              <w:bottom w:w="0" w:type="dxa"/>
            </w:tcMar>
            <w:tcW w:w="1155" w:type="dxa"/>
            <w:vAlign w:val="center"/>
            <w:textDirection w:val="lrTb"/>
            <w:noWrap w:val="false"/>
          </w:tcPr>
          <w:p>
            <w:pPr>
              <w:pStyle w:val="1016"/>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302" w:type="dxa"/>
            <w:vAlign w:val="center"/>
            <w:textDirection w:val="lrTb"/>
            <w:noWrap w:val="false"/>
          </w:tcPr>
          <w:p>
            <w:pPr>
              <w:pStyle w:val="1016"/>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13" w:type="dxa"/>
            <w:vAlign w:val="center"/>
            <w:textDirection w:val="lrTb"/>
            <w:noWrap w:val="false"/>
          </w:tcPr>
          <w:p>
            <w:pPr>
              <w:pStyle w:val="101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6690" w:type="dxa"/>
            <w:vAlign w:val="center"/>
            <w:textDirection w:val="lrTb"/>
            <w:noWrap w:val="false"/>
          </w:tcPr>
          <w:p>
            <w:pPr>
              <w:pStyle w:val="1016"/>
              <w:rPr>
                <w:rFonts w:hint="eastAsia" w:ascii="宋体" w:hAnsi="宋体"/>
                <w:i/>
                <w:iCs/>
                <w:color w:val="auto"/>
                <w:highlight w:val="none"/>
                <w:u w:val="single"/>
              </w:rPr>
            </w:pPr>
            <w:r>
              <w:rPr>
                <w:rFonts w:hint="eastAsia" w:ascii="宋体" w:hAnsi="宋体"/>
                <w:i/>
                <w:iCs/>
                <w:color w:val="auto"/>
                <w:highlight w:val="none"/>
                <w:u w:val="single"/>
              </w:rPr>
            </w:r>
            <w:r/>
          </w:p>
        </w:tc>
        <w:tc>
          <w:tcPr>
            <w:tcMar>
              <w:left w:w="0" w:type="dxa"/>
              <w:top w:w="0" w:type="dxa"/>
              <w:right w:w="0" w:type="dxa"/>
              <w:bottom w:w="0" w:type="dxa"/>
            </w:tcMar>
            <w:tcW w:w="1155" w:type="dxa"/>
            <w:vAlign w:val="center"/>
            <w:textDirection w:val="lrTb"/>
            <w:noWrap w:val="false"/>
          </w:tcPr>
          <w:p>
            <w:pPr>
              <w:pStyle w:val="1016"/>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302" w:type="dxa"/>
            <w:vAlign w:val="center"/>
            <w:textDirection w:val="lrTb"/>
            <w:noWrap w:val="false"/>
          </w:tcPr>
          <w:p>
            <w:pPr>
              <w:pStyle w:val="1016"/>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957"/>
        <w:rPr>
          <w:rFonts w:ascii="宋体" w:hAnsi="宋体" w:eastAsia="宋体" w:cs="宋体"/>
          <w:b/>
          <w:color w:val="auto"/>
          <w:sz w:val="28"/>
          <w:highlight w:val="none"/>
        </w:rPr>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pPr>
      <w:r>
        <w:rPr>
          <w:rFonts w:ascii="宋体" w:hAnsi="宋体" w:eastAsia="宋体" w:cs="宋体"/>
          <w:b/>
          <w:color w:val="auto"/>
          <w:sz w:val="28"/>
          <w:highlight w:val="none"/>
        </w:rPr>
      </w:r>
      <w:r/>
    </w:p>
    <w:p>
      <w:pPr>
        <w:pStyle w:val="957"/>
        <w:jc w:val="center"/>
        <w:rPr>
          <w:rFonts w:ascii="宋体" w:hAnsi="宋体" w:eastAsia="宋体" w:cs="宋体"/>
          <w:b/>
          <w:color w:val="auto"/>
          <w:sz w:val="28"/>
          <w:highlight w:val="none"/>
        </w:rPr>
      </w:pPr>
      <w:r>
        <w:rPr>
          <w:rFonts w:ascii="宋体" w:hAnsi="宋体" w:eastAsia="宋体" w:cs="宋体"/>
          <w:b/>
          <w:color w:val="auto"/>
          <w:sz w:val="28"/>
          <w:highlight w:val="none"/>
        </w:rPr>
      </w:r>
      <w:bookmarkEnd w:id="131"/>
      <w:r/>
      <w:bookmarkEnd w:id="132"/>
      <w:r/>
      <w:bookmarkEnd w:id="193"/>
      <w:r/>
      <w:bookmarkEnd w:id="194"/>
      <w:r/>
      <w:r/>
    </w:p>
    <w:p>
      <w:pPr>
        <w:pStyle w:val="957"/>
        <w:jc w:val="center"/>
        <w:rPr>
          <w:rFonts w:ascii="宋体" w:hAnsi="宋体" w:eastAsia="宋体" w:cs="宋体"/>
          <w:b/>
          <w:color w:val="auto"/>
          <w:sz w:val="28"/>
          <w:highlight w:val="none"/>
        </w:rPr>
      </w:pPr>
      <w:r>
        <w:rPr>
          <w:rFonts w:ascii="宋体" w:hAnsi="宋体" w:eastAsia="宋体" w:cs="宋体"/>
          <w:b/>
          <w:color w:val="auto"/>
          <w:sz w:val="28"/>
          <w:highlight w:val="none"/>
        </w:rPr>
      </w:r>
      <w:r/>
    </w:p>
    <w:p>
      <w:pPr>
        <w:pStyle w:val="946"/>
        <w:jc w:val="center"/>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737"/>
        <w:ind w:firstLine="0"/>
        <w:jc w:val="left"/>
        <w:pageBreakBefore/>
        <w:rPr>
          <w:rStyle w:val="920"/>
          <w:rFonts w:ascii="宋体" w:hAnsi="宋体" w:eastAsia="宋体"/>
          <w:b/>
          <w:color w:val="auto"/>
          <w:sz w:val="24"/>
          <w:szCs w:val="24"/>
          <w:highlight w:val="none"/>
        </w:rPr>
      </w:pPr>
      <w:r>
        <w:rPr>
          <w:rStyle w:val="920"/>
          <w:rFonts w:hint="eastAsia" w:ascii="宋体" w:hAnsi="宋体" w:eastAsia="宋体"/>
          <w:b/>
          <w:color w:val="auto"/>
          <w:sz w:val="24"/>
          <w:szCs w:val="24"/>
          <w:highlight w:val="none"/>
        </w:rPr>
        <w:t xml:space="preserve">七、技术服务方案</w:t>
      </w:r>
      <w:r/>
    </w:p>
    <w:p>
      <w:pPr>
        <w:pStyle w:val="737"/>
        <w:ind w:firstLine="0"/>
        <w:jc w:val="center"/>
        <w:rPr>
          <w:rStyle w:val="920"/>
          <w:rFonts w:ascii="宋体" w:hAnsi="宋体" w:eastAsia="宋体" w:cs="Arial"/>
          <w:color w:val="auto"/>
          <w:sz w:val="24"/>
          <w:szCs w:val="24"/>
          <w:highlight w:val="none"/>
        </w:rPr>
      </w:pPr>
      <w:r>
        <w:rPr>
          <w:rStyle w:val="920"/>
          <w:rFonts w:hint="eastAsia" w:ascii="宋体" w:hAnsi="宋体" w:eastAsia="宋体" w:cs="Arial"/>
          <w:color w:val="auto"/>
          <w:sz w:val="24"/>
          <w:szCs w:val="24"/>
          <w:highlight w:val="none"/>
        </w:rPr>
        <w:t xml:space="preserve">技术服务方案</w:t>
      </w:r>
      <w:r/>
    </w:p>
    <w:p>
      <w:pPr>
        <w:pStyle w:val="770"/>
        <w:jc w:val="center"/>
        <w:rPr>
          <w:rFonts w:cs="宋体"/>
          <w:color w:val="auto"/>
          <w:szCs w:val="24"/>
          <w:highlight w:val="none"/>
        </w:rPr>
      </w:pPr>
      <w:r>
        <w:rPr>
          <w:rFonts w:cs="宋体"/>
          <w:color w:val="auto"/>
          <w:szCs w:val="24"/>
          <w:highlight w:val="none"/>
        </w:rPr>
      </w:r>
      <w:r/>
    </w:p>
    <w:p>
      <w:pPr>
        <w:pStyle w:val="770"/>
        <w:ind w:firstLine="0"/>
        <w:rPr>
          <w:rFonts w:cs="宋体"/>
          <w:color w:val="auto"/>
          <w:szCs w:val="24"/>
          <w:highlight w:val="none"/>
        </w:rPr>
      </w:pPr>
      <w:r>
        <w:rPr>
          <w:rFonts w:cs="宋体"/>
          <w:color w:val="auto"/>
          <w:szCs w:val="24"/>
          <w:highlight w:val="none"/>
        </w:rPr>
      </w:r>
      <w:r/>
    </w:p>
    <w:p>
      <w:pPr>
        <w:pStyle w:val="942"/>
        <w:jc w:val="center"/>
        <w:spacing w:line="360" w:lineRule="auto"/>
        <w:rPr>
          <w:rStyle w:val="920"/>
          <w:rFonts w:ascii="宋体" w:hAnsi="宋体" w:cs="Arial"/>
          <w:color w:val="auto"/>
          <w:sz w:val="24"/>
          <w:szCs w:val="24"/>
          <w:highlight w:val="none"/>
        </w:rPr>
      </w:pPr>
      <w:r>
        <w:rPr>
          <w:rStyle w:val="920"/>
          <w:rFonts w:hint="eastAsia" w:ascii="宋体" w:hAnsi="宋体" w:cs="Arial"/>
          <w:color w:val="auto"/>
          <w:sz w:val="24"/>
          <w:szCs w:val="24"/>
          <w:highlight w:val="none"/>
        </w:rPr>
        <w:t xml:space="preserve">（技术方案及服务方案的内容编排等由投标单位按招标文件需求自定，请按需提供）</w:t>
      </w:r>
      <w:r/>
    </w:p>
    <w:p>
      <w:pPr>
        <w:pStyle w:val="1028"/>
        <w:spacing w:before="320" w:after="320"/>
        <w:rPr>
          <w:rFonts w:ascii="宋体" w:hAnsi="宋体" w:eastAsia="宋体" w:cs="宋体"/>
          <w:b/>
          <w:bCs/>
          <w:color w:val="auto"/>
          <w:highlight w:val="none"/>
        </w:rPr>
      </w:pPr>
      <w:r>
        <w:rPr>
          <w:rFonts w:ascii="宋体" w:hAnsi="宋体" w:eastAsia="宋体" w:cs="宋体"/>
          <w:b/>
          <w:bCs/>
          <w:color w:val="auto"/>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rPr>
          <w:rStyle w:val="920"/>
          <w:rFonts w:ascii="宋体" w:hAnsi="宋体" w:eastAsia="宋体"/>
          <w:b/>
          <w:color w:val="auto"/>
          <w:sz w:val="24"/>
          <w:szCs w:val="24"/>
          <w:highlight w:val="none"/>
        </w:rPr>
      </w:pPr>
      <w:r>
        <w:rPr>
          <w:rFonts w:ascii="宋体" w:hAnsi="宋体" w:eastAsia="宋体"/>
          <w:b/>
          <w:color w:val="auto"/>
          <w:sz w:val="24"/>
          <w:szCs w:val="24"/>
          <w:highlight w:val="none"/>
        </w:rPr>
      </w:r>
      <w:r/>
    </w:p>
    <w:p>
      <w:pPr>
        <w:pStyle w:val="737"/>
        <w:ind w:firstLine="0"/>
        <w:jc w:val="left"/>
        <w:pageBreakBefore/>
        <w:rPr>
          <w:rStyle w:val="920"/>
          <w:rFonts w:ascii="宋体" w:hAnsi="宋体" w:eastAsia="宋体"/>
          <w:b/>
          <w:color w:val="auto"/>
          <w:sz w:val="24"/>
          <w:szCs w:val="24"/>
          <w:highlight w:val="none"/>
        </w:rPr>
      </w:pPr>
      <w:r>
        <w:rPr>
          <w:rStyle w:val="920"/>
          <w:rFonts w:hint="eastAsia" w:ascii="宋体" w:hAnsi="宋体" w:eastAsia="宋体"/>
          <w:b/>
          <w:color w:val="auto"/>
          <w:sz w:val="24"/>
          <w:szCs w:val="24"/>
          <w:highlight w:val="none"/>
        </w:rPr>
        <w:t xml:space="preserve">八、针对本项目提供的人员一览表</w:t>
      </w:r>
      <w:r/>
    </w:p>
    <w:p>
      <w:pPr>
        <w:ind w:left="1050" w:right="775"/>
        <w:jc w:val="center"/>
        <w:spacing w:line="400" w:lineRule="exact"/>
        <w:rPr>
          <w:rFonts w:ascii="宋体" w:hAnsi="宋体" w:cs="宋体"/>
          <w:b/>
          <w:color w:val="auto"/>
          <w:sz w:val="24"/>
          <w:szCs w:val="24"/>
          <w:highlight w:val="none"/>
        </w:rPr>
        <w:outlineLvl w:val="0"/>
      </w:pPr>
      <w:r/>
      <w:bookmarkStart w:id="206" w:name="_Toc15809"/>
      <w:r/>
      <w:bookmarkStart w:id="207" w:name="_Toc32526"/>
      <w:r/>
      <w:bookmarkStart w:id="208" w:name="_Toc2986"/>
      <w:r/>
      <w:bookmarkStart w:id="209" w:name="_Toc20890"/>
      <w:r>
        <w:rPr>
          <w:rFonts w:hint="eastAsia" w:ascii="宋体" w:hAnsi="宋体" w:cs="宋体"/>
          <w:b/>
          <w:color w:val="auto"/>
          <w:sz w:val="24"/>
          <w:szCs w:val="24"/>
          <w:highlight w:val="none"/>
        </w:rPr>
        <w:t xml:space="preserve">针对本项目提供的人员一览表</w:t>
      </w:r>
      <w:bookmarkEnd w:id="206"/>
      <w:r/>
      <w:bookmarkEnd w:id="207"/>
      <w:r/>
      <w:bookmarkEnd w:id="208"/>
      <w:r/>
      <w:bookmarkEnd w:id="209"/>
      <w:r>
        <w:rPr>
          <w:rFonts w:hint="eastAsia" w:ascii="宋体" w:hAnsi="宋体" w:cs="宋体"/>
          <w:b/>
          <w:color w:val="auto"/>
          <w:sz w:val="24"/>
          <w:szCs w:val="24"/>
          <w:highlight w:val="none"/>
        </w:rPr>
        <w:t xml:space="preserve">（参考格式）</w:t>
      </w:r>
      <w:r/>
    </w:p>
    <w:tbl>
      <w:tblPr>
        <w:tblStyle w:val="72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256"/>
        <w:gridCol w:w="965"/>
        <w:gridCol w:w="823"/>
        <w:gridCol w:w="887"/>
        <w:gridCol w:w="1013"/>
        <w:gridCol w:w="2168"/>
        <w:gridCol w:w="2347"/>
      </w:tblGrid>
      <w:tr>
        <w:trPr>
          <w:trHeight w:val="906"/>
        </w:trPr>
        <w:tc>
          <w:tcPr>
            <w:tcW w:w="503"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25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岗位</w:t>
            </w:r>
            <w:r/>
          </w:p>
        </w:tc>
        <w:tc>
          <w:tcPr>
            <w:tcW w:w="96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82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W w:w="88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101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216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具有的相关岗位证书或职业资格证书</w:t>
            </w:r>
            <w:r/>
          </w:p>
        </w:tc>
        <w:tc>
          <w:tcPr>
            <w:tcW w:w="2347" w:type="dxa"/>
            <w:vAlign w:val="center"/>
            <w:textDirection w:val="lrTb"/>
            <w:noWrap w:val="false"/>
          </w:tcPr>
          <w:p>
            <w:pPr>
              <w:jc w:val="center"/>
              <w:spacing w:before="4"/>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主要资历、经验</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及承担过的管理项目</w:t>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56"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965"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23"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56"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965"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2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56"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965"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2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5"/>
        </w:trPr>
        <w:tc>
          <w:tcPr>
            <w:tcW w:w="503"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56"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965"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2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88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1013"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168"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347"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bl>
    <w:p>
      <w:pPr>
        <w:ind w:left="315" w:right="775" w:firstLine="422"/>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1、以上表格由投标人根据人员岗位自行调整；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2、请投标单位根据现场情况自行考虑配备人员的岗位安排且满足招标文件要求。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3、各类人员的数量按人员配置要求及项目情况自行配置。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4、投标单位中标后人员总数不得减少，且主要管理人员人事不作变动，如确需变动应征得采购单位书面同意。</w:t>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ind w:right="775"/>
        <w:spacing w:line="360" w:lineRule="auto"/>
        <w:rPr>
          <w:rFonts w:ascii="宋体" w:hAnsi="宋体"/>
          <w:b/>
          <w:color w:val="auto"/>
          <w:sz w:val="32"/>
          <w:szCs w:val="32"/>
          <w:highlight w:val="none"/>
        </w:rPr>
        <w:outlineLvl w:val="0"/>
      </w:pPr>
      <w:r>
        <w:rPr>
          <w:rFonts w:ascii="宋体" w:hAnsi="宋体"/>
          <w:b/>
          <w:color w:val="auto"/>
          <w:sz w:val="32"/>
          <w:szCs w:val="32"/>
          <w:highlight w:val="none"/>
        </w:rPr>
      </w:r>
      <w:r/>
    </w:p>
    <w:p>
      <w:pPr>
        <w:ind w:right="775"/>
        <w:jc w:val="center"/>
        <w:spacing w:line="360" w:lineRule="auto"/>
        <w:rPr>
          <w:rFonts w:ascii="宋体" w:hAnsi="宋体"/>
          <w:b/>
          <w:color w:val="auto"/>
          <w:sz w:val="32"/>
          <w:szCs w:val="32"/>
          <w:highlight w:val="none"/>
        </w:rPr>
        <w:outlineLvl w:val="0"/>
      </w:pPr>
      <w:r>
        <w:rPr>
          <w:rFonts w:ascii="宋体" w:hAnsi="宋体"/>
          <w:b/>
          <w:color w:val="auto"/>
          <w:sz w:val="32"/>
          <w:szCs w:val="32"/>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right="775"/>
        <w:jc w:val="left"/>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right="777"/>
        <w:jc w:val="left"/>
        <w:pageBreakBefore/>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九、类似业绩一览表</w:t>
      </w:r>
      <w:r/>
    </w:p>
    <w:p>
      <w:pPr>
        <w:ind w:right="775"/>
        <w:jc w:val="center"/>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类似业绩一览表</w:t>
      </w:r>
      <w:r/>
    </w:p>
    <w:tbl>
      <w:tblPr>
        <w:tblStyle w:val="725"/>
        <w:tblW w:w="980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66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合同金额</w:t>
            </w:r>
            <w:r/>
          </w:p>
        </w:tc>
        <w:tc>
          <w:tcPr>
            <w:tcW w:w="1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left="420" w:firstLine="480"/>
              <w:jc w:val="center"/>
              <w:rPr>
                <w:rFonts w:ascii="宋体" w:hAnsi="宋体"/>
                <w:color w:val="auto"/>
                <w:sz w:val="24"/>
                <w:highlight w:val="none"/>
              </w:rPr>
            </w:pPr>
            <w:r>
              <w:rPr>
                <w:rFonts w:ascii="宋体" w:hAnsi="宋体"/>
                <w:color w:val="auto"/>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W w:w="2661"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c>
          <w:tcPr>
            <w:tcW w:w="1792" w:type="dxa"/>
            <w:vAlign w:val="center"/>
            <w:textDirection w:val="lrTb"/>
            <w:noWrap w:val="false"/>
          </w:tcPr>
          <w:p>
            <w:pPr>
              <w:ind w:firstLine="480"/>
              <w:jc w:val="center"/>
              <w:rPr>
                <w:rFonts w:ascii="宋体" w:hAnsi="宋体"/>
                <w:color w:val="auto"/>
                <w:sz w:val="24"/>
                <w:highlight w:val="none"/>
              </w:rPr>
            </w:pPr>
            <w:r>
              <w:rPr>
                <w:rFonts w:ascii="宋体" w:hAnsi="宋体"/>
                <w:color w:val="auto"/>
                <w:sz w:val="24"/>
                <w:highlight w:val="none"/>
              </w:rPr>
            </w:r>
            <w:r/>
          </w:p>
        </w:tc>
      </w:tr>
    </w:tbl>
    <w:p>
      <w:pPr>
        <w:ind w:right="775"/>
        <w:jc w:val="left"/>
        <w:spacing w:line="360" w:lineRule="auto"/>
        <w:rPr>
          <w:b/>
          <w:bCs/>
          <w:color w:val="auto"/>
          <w:sz w:val="24"/>
          <w:highlight w:val="none"/>
        </w:rPr>
      </w:pPr>
      <w:r>
        <w:rPr>
          <w:b/>
          <w:bCs/>
          <w:color w:val="auto"/>
          <w:sz w:val="24"/>
          <w:highlight w:val="none"/>
        </w:rPr>
      </w:r>
      <w:r/>
    </w:p>
    <w:p>
      <w:pPr>
        <w:ind w:right="775"/>
        <w:jc w:val="left"/>
        <w:spacing w:line="360" w:lineRule="auto"/>
        <w:rPr>
          <w:rFonts w:ascii="宋体" w:hAnsi="宋体"/>
          <w:b/>
          <w:color w:val="auto"/>
          <w:sz w:val="32"/>
          <w:szCs w:val="32"/>
          <w:highlight w:val="none"/>
        </w:rPr>
      </w:pPr>
      <w:r>
        <w:rPr>
          <w:b/>
          <w:bCs/>
          <w:color w:val="auto"/>
          <w:sz w:val="24"/>
          <w:highlight w:val="none"/>
        </w:rPr>
        <w:t xml:space="preserve">注：</w:t>
      </w:r>
      <w:r>
        <w:rPr>
          <w:rFonts w:hint="eastAsia"/>
          <w:color w:val="auto"/>
          <w:sz w:val="24"/>
          <w:highlight w:val="none"/>
        </w:rPr>
        <w:t xml:space="preserve">按评分标准要求提供证明材料。</w:t>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57"/>
        <w:rPr>
          <w:rFonts w:ascii="宋体" w:hAnsi="宋体" w:eastAsia="宋体" w:cs="宋体"/>
          <w:b/>
          <w:color w:val="auto"/>
          <w:sz w:val="28"/>
          <w:highlight w:val="none"/>
        </w:rPr>
        <w:outlineLvl w:val="2"/>
      </w:pPr>
      <w:r>
        <w:rPr>
          <w:rFonts w:ascii="宋体" w:hAnsi="宋体" w:eastAsia="宋体" w:cs="宋体"/>
          <w:b/>
          <w:color w:val="auto"/>
          <w:sz w:val="28"/>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Calibri">
    <w:panose1 w:val="020F0502020204030204"/>
  </w:font>
  <w:font w:name="方正仿宋简体">
    <w:panose1 w:val="020B0503020202020204"/>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rPr>
        <w:rStyle w:val="931"/>
      </w:rPr>
      <w:framePr w:wrap="around" w:vAnchor="text" w:hAnchor="margin" w:xAlign="right" w:y="1"/>
    </w:pPr>
    <w:r>
      <w:fldChar w:fldCharType="begin"/>
    </w:r>
    <w:r>
      <w:rPr>
        <w:rStyle w:val="931"/>
        <w:color w:val="000000"/>
        <w:highlight w:val="white"/>
      </w:rPr>
      <w:instrText xml:space="preserve">PAGE  </w:instrText>
    </w:r>
    <w:r>
      <w:fldChar w:fldCharType="end"/>
    </w:r>
    <w:r/>
  </w:p>
  <w:p>
    <w:pPr>
      <w:pStyle w:val="92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fldChar w:fldCharType="end"/>
    </w:r>
    <w:r/>
  </w:p>
  <w:p>
    <w:pPr>
      <w:pStyle w:val="92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24"/>
    <w:link w:val="715"/>
    <w:uiPriority w:val="9"/>
    <w:rPr>
      <w:rFonts w:ascii="Arial" w:hAnsi="Arial" w:eastAsia="Arial" w:cs="Arial"/>
      <w:sz w:val="40"/>
      <w:szCs w:val="40"/>
    </w:rPr>
  </w:style>
  <w:style w:type="character" w:styleId="697">
    <w:name w:val="Heading 2 Char"/>
    <w:basedOn w:val="724"/>
    <w:link w:val="716"/>
    <w:uiPriority w:val="9"/>
    <w:rPr>
      <w:rFonts w:ascii="Arial" w:hAnsi="Arial" w:eastAsia="Arial" w:cs="Arial"/>
      <w:sz w:val="34"/>
    </w:rPr>
  </w:style>
  <w:style w:type="character" w:styleId="698">
    <w:name w:val="Heading 3 Char"/>
    <w:basedOn w:val="724"/>
    <w:link w:val="717"/>
    <w:uiPriority w:val="9"/>
    <w:rPr>
      <w:rFonts w:ascii="Arial" w:hAnsi="Arial" w:eastAsia="Arial" w:cs="Arial"/>
      <w:sz w:val="30"/>
      <w:szCs w:val="30"/>
    </w:rPr>
  </w:style>
  <w:style w:type="character" w:styleId="699">
    <w:name w:val="Heading 4 Char"/>
    <w:basedOn w:val="724"/>
    <w:link w:val="718"/>
    <w:uiPriority w:val="9"/>
    <w:rPr>
      <w:rFonts w:ascii="Arial" w:hAnsi="Arial" w:eastAsia="Arial" w:cs="Arial"/>
      <w:b/>
      <w:bCs/>
      <w:sz w:val="26"/>
      <w:szCs w:val="26"/>
    </w:rPr>
  </w:style>
  <w:style w:type="character" w:styleId="700">
    <w:name w:val="Heading 5 Char"/>
    <w:basedOn w:val="724"/>
    <w:link w:val="719"/>
    <w:uiPriority w:val="9"/>
    <w:rPr>
      <w:rFonts w:ascii="Arial" w:hAnsi="Arial" w:eastAsia="Arial" w:cs="Arial"/>
      <w:b/>
      <w:bCs/>
      <w:sz w:val="24"/>
      <w:szCs w:val="24"/>
    </w:rPr>
  </w:style>
  <w:style w:type="character" w:styleId="701">
    <w:name w:val="Heading 6 Char"/>
    <w:basedOn w:val="724"/>
    <w:link w:val="720"/>
    <w:uiPriority w:val="9"/>
    <w:rPr>
      <w:rFonts w:ascii="Arial" w:hAnsi="Arial" w:eastAsia="Arial" w:cs="Arial"/>
      <w:b/>
      <w:bCs/>
      <w:sz w:val="22"/>
      <w:szCs w:val="22"/>
    </w:rPr>
  </w:style>
  <w:style w:type="character" w:styleId="702">
    <w:name w:val="Heading 7 Char"/>
    <w:basedOn w:val="724"/>
    <w:link w:val="721"/>
    <w:uiPriority w:val="9"/>
    <w:rPr>
      <w:rFonts w:ascii="Arial" w:hAnsi="Arial" w:eastAsia="Arial" w:cs="Arial"/>
      <w:b/>
      <w:bCs/>
      <w:i/>
      <w:iCs/>
      <w:sz w:val="22"/>
      <w:szCs w:val="22"/>
    </w:rPr>
  </w:style>
  <w:style w:type="character" w:styleId="703">
    <w:name w:val="Heading 8 Char"/>
    <w:basedOn w:val="724"/>
    <w:link w:val="722"/>
    <w:uiPriority w:val="9"/>
    <w:rPr>
      <w:rFonts w:ascii="Arial" w:hAnsi="Arial" w:eastAsia="Arial" w:cs="Arial"/>
      <w:i/>
      <w:iCs/>
      <w:sz w:val="22"/>
      <w:szCs w:val="22"/>
    </w:rPr>
  </w:style>
  <w:style w:type="character" w:styleId="704">
    <w:name w:val="Heading 9 Char"/>
    <w:basedOn w:val="724"/>
    <w:link w:val="723"/>
    <w:uiPriority w:val="9"/>
    <w:rPr>
      <w:rFonts w:ascii="Arial" w:hAnsi="Arial" w:eastAsia="Arial" w:cs="Arial"/>
      <w:i/>
      <w:iCs/>
      <w:sz w:val="21"/>
      <w:szCs w:val="21"/>
    </w:rPr>
  </w:style>
  <w:style w:type="character" w:styleId="705">
    <w:name w:val="Title Char"/>
    <w:basedOn w:val="724"/>
    <w:link w:val="757"/>
    <w:uiPriority w:val="10"/>
    <w:rPr>
      <w:sz w:val="48"/>
      <w:szCs w:val="48"/>
    </w:rPr>
  </w:style>
  <w:style w:type="character" w:styleId="706">
    <w:name w:val="Subtitle Char"/>
    <w:basedOn w:val="724"/>
    <w:link w:val="750"/>
    <w:uiPriority w:val="11"/>
    <w:rPr>
      <w:sz w:val="24"/>
      <w:szCs w:val="24"/>
    </w:rPr>
  </w:style>
  <w:style w:type="character" w:styleId="707">
    <w:name w:val="Quote Char"/>
    <w:link w:val="784"/>
    <w:uiPriority w:val="29"/>
    <w:rPr>
      <w:i/>
    </w:rPr>
  </w:style>
  <w:style w:type="character" w:styleId="708">
    <w:name w:val="Intense Quote Char"/>
    <w:link w:val="786"/>
    <w:uiPriority w:val="30"/>
    <w:rPr>
      <w:i/>
    </w:rPr>
  </w:style>
  <w:style w:type="character" w:styleId="709">
    <w:name w:val="Header Char"/>
    <w:basedOn w:val="724"/>
    <w:link w:val="747"/>
    <w:uiPriority w:val="99"/>
  </w:style>
  <w:style w:type="character" w:styleId="710">
    <w:name w:val="Caption Char"/>
    <w:basedOn w:val="731"/>
    <w:link w:val="745"/>
    <w:uiPriority w:val="99"/>
  </w:style>
  <w:style w:type="character" w:styleId="711">
    <w:name w:val="Footnote Text Char"/>
    <w:link w:val="751"/>
    <w:uiPriority w:val="99"/>
    <w:rPr>
      <w:sz w:val="18"/>
    </w:rPr>
  </w:style>
  <w:style w:type="character" w:styleId="712">
    <w:name w:val="Endnote Text Char"/>
    <w:link w:val="743"/>
    <w:uiPriority w:val="99"/>
    <w:rPr>
      <w:sz w:val="20"/>
    </w:rPr>
  </w:style>
  <w:style w:type="paragraph" w:styleId="713">
    <w:name w:val="TOC Heading"/>
    <w:uiPriority w:val="39"/>
    <w:unhideWhenUsed/>
  </w:style>
  <w:style w:type="paragraph" w:styleId="714" w:default="1">
    <w:name w:val="Normal"/>
    <w:next w:val="726"/>
    <w:uiPriority w:val="0"/>
    <w:qFormat/>
    <w:pPr>
      <w:jc w:val="both"/>
      <w:widowControl w:val="off"/>
    </w:pPr>
    <w:rPr>
      <w:rFonts w:ascii="Times New Roman" w:hAnsi="Times New Roman" w:eastAsia="宋体" w:cs="Times New Roman"/>
      <w:sz w:val="21"/>
      <w:szCs w:val="22"/>
      <w:lang w:val="en-US" w:eastAsia="zh-CN" w:bidi="ar-SA"/>
    </w:rPr>
  </w:style>
  <w:style w:type="paragraph" w:styleId="715">
    <w:name w:val="Heading 1"/>
    <w:basedOn w:val="714"/>
    <w:next w:val="714"/>
    <w:link w:val="771"/>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72"/>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73"/>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7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75"/>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76"/>
    <w:uiPriority w:val="9"/>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777"/>
    <w:uiPriority w:val="9"/>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778"/>
    <w:uiPriority w:val="9"/>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779"/>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tblPr>
      <w:tblLayout w:type="fixed"/>
      <w:tblCellMar>
        <w:left w:w="108" w:type="dxa"/>
        <w:top w:w="0" w:type="dxa"/>
        <w:right w:w="108" w:type="dxa"/>
        <w:bottom w:w="0" w:type="dxa"/>
      </w:tblCellMar>
    </w:tblPr>
  </w:style>
  <w:style w:type="paragraph" w:styleId="726" w:customStyle="1">
    <w:name w:val="文本块1"/>
    <w:basedOn w:val="714"/>
    <w:uiPriority w:val="0"/>
    <w:qFormat/>
    <w:pPr>
      <w:ind w:left="1440" w:right="700"/>
      <w:spacing w:after="120"/>
    </w:pPr>
  </w:style>
  <w:style w:type="paragraph" w:styleId="727">
    <w:name w:val="annotation subject"/>
    <w:basedOn w:val="728"/>
    <w:next w:val="728"/>
    <w:link w:val="1052"/>
    <w:uiPriority w:val="99"/>
    <w:semiHidden/>
    <w:unhideWhenUsed/>
    <w:qFormat/>
    <w:rPr>
      <w:b/>
      <w:bCs/>
    </w:rPr>
  </w:style>
  <w:style w:type="paragraph" w:styleId="728">
    <w:name w:val="annotation text"/>
    <w:basedOn w:val="714"/>
    <w:link w:val="1051"/>
    <w:uiPriority w:val="99"/>
    <w:semiHidden/>
    <w:unhideWhenUsed/>
    <w:qFormat/>
    <w:pPr>
      <w:jc w:val="left"/>
    </w:pPr>
  </w:style>
  <w:style w:type="paragraph" w:styleId="729">
    <w:name w:val="toc 7"/>
    <w:basedOn w:val="714"/>
    <w:next w:val="714"/>
    <w:uiPriority w:val="39"/>
    <w:unhideWhenUsed/>
    <w:qFormat/>
    <w:pPr>
      <w:ind w:left="1701"/>
      <w:spacing w:after="57"/>
    </w:pPr>
  </w:style>
  <w:style w:type="paragraph" w:styleId="730">
    <w:name w:val="Normal Indent"/>
    <w:basedOn w:val="714"/>
    <w:next w:val="714"/>
    <w:uiPriority w:val="0"/>
    <w:qFormat/>
    <w:pPr>
      <w:ind w:left="420" w:firstLine="4772"/>
    </w:pPr>
  </w:style>
  <w:style w:type="paragraph" w:styleId="731">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index 5"/>
    <w:basedOn w:val="714"/>
    <w:next w:val="714"/>
    <w:uiPriority w:val="99"/>
    <w:qFormat/>
    <w:pPr>
      <w:ind w:left="800"/>
    </w:pPr>
  </w:style>
  <w:style w:type="paragraph" w:styleId="733">
    <w:name w:val="Body Text"/>
    <w:basedOn w:val="714"/>
    <w:next w:val="734"/>
    <w:uiPriority w:val="99"/>
    <w:qFormat/>
    <w:rPr>
      <w:rFonts w:ascii="楷体_GB2312" w:hAnsi="宋体" w:eastAsia="楷体_GB2312"/>
      <w:sz w:val="28"/>
      <w:szCs w:val="28"/>
    </w:rPr>
  </w:style>
  <w:style w:type="paragraph" w:styleId="734" w:customStyle="1">
    <w:name w:val="一级条标题"/>
    <w:basedOn w:val="735"/>
    <w:next w:val="736"/>
    <w:uiPriority w:val="99"/>
    <w:qFormat/>
    <w:pPr>
      <w:ind w:left="907" w:hanging="907"/>
      <w:spacing w:before="0" w:after="0"/>
      <w:outlineLvl w:val="2"/>
    </w:pPr>
    <w:rPr>
      <w:rFonts w:hAnsi="宋体"/>
      <w:sz w:val="20"/>
      <w:szCs w:val="20"/>
    </w:rPr>
  </w:style>
  <w:style w:type="paragraph" w:styleId="735" w:customStyle="1">
    <w:name w:val="章标题"/>
    <w:next w:val="714"/>
    <w:uiPriority w:val="99"/>
    <w:qFormat/>
    <w:pPr>
      <w:ind w:left="810" w:hanging="810"/>
      <w:jc w:val="both"/>
      <w:spacing w:before="50" w:after="50"/>
      <w:outlineLvl w:val="1"/>
    </w:pPr>
    <w:rPr>
      <w:rFonts w:ascii="黑体" w:hAnsi="Times New Roman" w:eastAsia="黑体" w:cs="Times New Roman"/>
      <w:sz w:val="21"/>
      <w:szCs w:val="22"/>
      <w:lang w:val="en-US" w:eastAsia="zh-CN" w:bidi="ar-SA"/>
    </w:rPr>
  </w:style>
  <w:style w:type="paragraph" w:styleId="736" w:customStyle="1">
    <w:name w:val="段"/>
    <w:next w:val="714"/>
    <w:uiPriority w:val="0"/>
    <w:qFormat/>
    <w:pPr>
      <w:ind w:firstLine="200"/>
      <w:jc w:val="both"/>
    </w:pPr>
    <w:rPr>
      <w:rFonts w:ascii="宋体" w:hAnsi="Times New Roman" w:eastAsia="Times New Roman" w:cs="Times New Roman"/>
      <w:sz w:val="21"/>
      <w:szCs w:val="22"/>
      <w:lang w:val="en-US" w:eastAsia="zh-CN" w:bidi="ar-SA"/>
    </w:rPr>
  </w:style>
  <w:style w:type="paragraph" w:styleId="737">
    <w:name w:val="Body Text Indent"/>
    <w:basedOn w:val="714"/>
    <w:next w:val="738"/>
    <w:uiPriority w:val="0"/>
    <w:qFormat/>
    <w:pPr>
      <w:ind w:firstLine="645"/>
    </w:pPr>
    <w:rPr>
      <w:rFonts w:ascii="楷体_GB2312" w:eastAsia="楷体_GB2312" w:cs="宋体"/>
      <w:sz w:val="32"/>
      <w:szCs w:val="32"/>
    </w:rPr>
  </w:style>
  <w:style w:type="paragraph" w:styleId="738">
    <w:name w:val="envelope return"/>
    <w:basedOn w:val="714"/>
    <w:uiPriority w:val="0"/>
    <w:unhideWhenUsed/>
    <w:qFormat/>
    <w:pPr>
      <w:ind w:firstLine="480"/>
      <w:spacing w:line="360" w:lineRule="auto"/>
    </w:pPr>
    <w:rPr>
      <w:rFonts w:ascii="Arial" w:hAnsi="Arial" w:cs="Arial"/>
    </w:rPr>
  </w:style>
  <w:style w:type="paragraph" w:styleId="739">
    <w:name w:val="toc 5"/>
    <w:basedOn w:val="714"/>
    <w:next w:val="714"/>
    <w:uiPriority w:val="39"/>
    <w:unhideWhenUsed/>
    <w:qFormat/>
    <w:pPr>
      <w:ind w:left="1134"/>
      <w:spacing w:after="57"/>
    </w:pPr>
  </w:style>
  <w:style w:type="paragraph" w:styleId="740">
    <w:name w:val="toc 3"/>
    <w:basedOn w:val="714"/>
    <w:next w:val="714"/>
    <w:uiPriority w:val="39"/>
    <w:unhideWhenUsed/>
    <w:qFormat/>
    <w:pPr>
      <w:ind w:left="567"/>
      <w:spacing w:after="57"/>
    </w:pPr>
  </w:style>
  <w:style w:type="paragraph" w:styleId="741">
    <w:name w:val="Plain Text"/>
    <w:basedOn w:val="714"/>
    <w:uiPriority w:val="0"/>
    <w:qFormat/>
    <w:rPr>
      <w:rFonts w:hAnsiTheme="minorHAnsi" w:cstheme="minorBidi"/>
    </w:rPr>
  </w:style>
  <w:style w:type="paragraph" w:styleId="742">
    <w:name w:val="toc 8"/>
    <w:basedOn w:val="714"/>
    <w:next w:val="714"/>
    <w:uiPriority w:val="39"/>
    <w:unhideWhenUsed/>
    <w:qFormat/>
    <w:pPr>
      <w:ind w:left="1984"/>
      <w:spacing w:after="57"/>
    </w:pPr>
  </w:style>
  <w:style w:type="paragraph" w:styleId="743">
    <w:name w:val="endnote text"/>
    <w:basedOn w:val="714"/>
    <w:link w:val="917"/>
    <w:uiPriority w:val="99"/>
    <w:semiHidden/>
    <w:unhideWhenUsed/>
    <w:qFormat/>
    <w:rPr>
      <w:sz w:val="20"/>
    </w:rPr>
  </w:style>
  <w:style w:type="paragraph" w:styleId="744">
    <w:name w:val="Balloon Text"/>
    <w:basedOn w:val="714"/>
    <w:uiPriority w:val="0"/>
    <w:qFormat/>
    <w:rPr>
      <w:sz w:val="18"/>
      <w:szCs w:val="18"/>
    </w:rPr>
  </w:style>
  <w:style w:type="paragraph" w:styleId="745">
    <w:name w:val="Footer"/>
    <w:basedOn w:val="714"/>
    <w:link w:val="790"/>
    <w:uiPriority w:val="99"/>
    <w:unhideWhenUsed/>
    <w:qFormat/>
    <w:pPr>
      <w:tabs>
        <w:tab w:val="center" w:pos="7143" w:leader="none"/>
        <w:tab w:val="right" w:pos="14287" w:leader="none"/>
      </w:tabs>
    </w:pPr>
  </w:style>
  <w:style w:type="paragraph" w:styleId="746">
    <w:name w:val="Body Text First Indent 2"/>
    <w:basedOn w:val="737"/>
    <w:uiPriority w:val="0"/>
    <w:qFormat/>
    <w:pPr>
      <w:ind w:left="420" w:firstLine="420"/>
      <w:spacing w:after="120"/>
    </w:pPr>
    <w:rPr>
      <w:sz w:val="21"/>
      <w:szCs w:val="22"/>
    </w:rPr>
  </w:style>
  <w:style w:type="paragraph" w:styleId="747">
    <w:name w:val="Header"/>
    <w:basedOn w:val="714"/>
    <w:link w:val="788"/>
    <w:uiPriority w:val="99"/>
    <w:unhideWhenUsed/>
    <w:qFormat/>
    <w:pPr>
      <w:tabs>
        <w:tab w:val="center" w:pos="7143" w:leader="none"/>
        <w:tab w:val="right" w:pos="14287" w:leader="none"/>
      </w:tabs>
    </w:pPr>
  </w:style>
  <w:style w:type="paragraph" w:styleId="748">
    <w:name w:val="toc 1"/>
    <w:basedOn w:val="714"/>
    <w:next w:val="714"/>
    <w:uiPriority w:val="39"/>
    <w:unhideWhenUsed/>
    <w:qFormat/>
    <w:pPr>
      <w:spacing w:after="57"/>
    </w:pPr>
  </w:style>
  <w:style w:type="paragraph" w:styleId="749">
    <w:name w:val="toc 4"/>
    <w:basedOn w:val="714"/>
    <w:next w:val="714"/>
    <w:uiPriority w:val="39"/>
    <w:unhideWhenUsed/>
    <w:qFormat/>
    <w:pPr>
      <w:ind w:left="850"/>
      <w:spacing w:after="57"/>
    </w:pPr>
  </w:style>
  <w:style w:type="paragraph" w:styleId="750">
    <w:name w:val="Subtitle"/>
    <w:basedOn w:val="714"/>
    <w:next w:val="714"/>
    <w:link w:val="783"/>
    <w:uiPriority w:val="11"/>
    <w:qFormat/>
    <w:pPr>
      <w:spacing w:before="200" w:after="200"/>
    </w:pPr>
    <w:rPr>
      <w:sz w:val="24"/>
      <w:szCs w:val="24"/>
    </w:rPr>
  </w:style>
  <w:style w:type="paragraph" w:styleId="751">
    <w:name w:val="footnote text"/>
    <w:basedOn w:val="714"/>
    <w:next w:val="732"/>
    <w:link w:val="916"/>
    <w:uiPriority w:val="99"/>
    <w:semiHidden/>
    <w:unhideWhenUsed/>
    <w:qFormat/>
    <w:pPr>
      <w:spacing w:after="40"/>
    </w:pPr>
    <w:rPr>
      <w:sz w:val="18"/>
    </w:rPr>
  </w:style>
  <w:style w:type="paragraph" w:styleId="752">
    <w:name w:val="toc 6"/>
    <w:basedOn w:val="714"/>
    <w:next w:val="714"/>
    <w:uiPriority w:val="39"/>
    <w:unhideWhenUsed/>
    <w:qFormat/>
    <w:pPr>
      <w:ind w:left="1417"/>
      <w:spacing w:after="57"/>
    </w:pPr>
  </w:style>
  <w:style w:type="paragraph" w:styleId="753">
    <w:name w:val="table of figures"/>
    <w:basedOn w:val="714"/>
    <w:next w:val="714"/>
    <w:uiPriority w:val="99"/>
    <w:unhideWhenUsed/>
    <w:qFormat/>
  </w:style>
  <w:style w:type="paragraph" w:styleId="754">
    <w:name w:val="toc 2"/>
    <w:basedOn w:val="714"/>
    <w:next w:val="714"/>
    <w:uiPriority w:val="39"/>
    <w:unhideWhenUsed/>
    <w:qFormat/>
    <w:pPr>
      <w:ind w:left="283"/>
      <w:spacing w:after="57"/>
    </w:pPr>
  </w:style>
  <w:style w:type="paragraph" w:styleId="755">
    <w:name w:val="toc 9"/>
    <w:basedOn w:val="714"/>
    <w:next w:val="714"/>
    <w:uiPriority w:val="39"/>
    <w:unhideWhenUsed/>
    <w:qFormat/>
    <w:pPr>
      <w:ind w:left="2268"/>
      <w:spacing w:after="57"/>
    </w:pPr>
  </w:style>
  <w:style w:type="paragraph" w:styleId="756">
    <w:name w:val="Normal (Web)"/>
    <w:basedOn w:val="714"/>
    <w:uiPriority w:val="99"/>
    <w:semiHidden/>
    <w:unhideWhenUsed/>
    <w:qFormat/>
    <w:pPr>
      <w:jc w:val="left"/>
      <w:spacing w:beforeAutospacing="1" w:afterAutospacing="1"/>
    </w:pPr>
    <w:rPr>
      <w:sz w:val="24"/>
    </w:rPr>
  </w:style>
  <w:style w:type="paragraph" w:styleId="757">
    <w:name w:val="Title"/>
    <w:basedOn w:val="714"/>
    <w:next w:val="714"/>
    <w:link w:val="782"/>
    <w:uiPriority w:val="10"/>
    <w:qFormat/>
    <w:pPr>
      <w:contextualSpacing/>
      <w:spacing w:before="300" w:after="200"/>
    </w:pPr>
    <w:rPr>
      <w:sz w:val="48"/>
      <w:szCs w:val="48"/>
    </w:rPr>
  </w:style>
  <w:style w:type="character" w:styleId="758">
    <w:name w:val="Strong"/>
    <w:basedOn w:val="724"/>
    <w:uiPriority w:val="99"/>
    <w:qFormat/>
    <w:rPr>
      <w:rFonts w:cs="Times New Roman"/>
      <w:b/>
      <w:bCs/>
    </w:r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24"/>
    <w:uiPriority w:val="99"/>
    <w:semiHidden/>
    <w:unhideWhenUsed/>
    <w:qFormat/>
    <w:rPr>
      <w:sz w:val="21"/>
      <w:szCs w:val="21"/>
    </w:rPr>
  </w:style>
  <w:style w:type="character" w:styleId="762">
    <w:name w:val="footnote reference"/>
    <w:uiPriority w:val="99"/>
    <w:unhideWhenUsed/>
    <w:qFormat/>
    <w:rPr>
      <w:vertAlign w:val="superscript"/>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64" w:customStyle="1">
    <w:name w:val="标题 31"/>
    <w:basedOn w:val="714"/>
    <w:next w:val="714"/>
    <w:link w:val="922"/>
    <w:uiPriority w:val="0"/>
    <w:qFormat/>
    <w:pPr>
      <w:keepLines/>
      <w:keepNext/>
      <w:spacing w:before="260" w:after="260" w:line="416" w:lineRule="auto"/>
      <w:outlineLvl w:val="2"/>
    </w:pPr>
    <w:rPr>
      <w:b/>
      <w:bCs/>
      <w:sz w:val="32"/>
      <w:szCs w:val="32"/>
    </w:rPr>
  </w:style>
  <w:style w:type="paragraph" w:styleId="765" w:customStyle="1">
    <w:name w:val="正文文本首行缩进 21"/>
    <w:basedOn w:val="737"/>
    <w:uiPriority w:val="0"/>
    <w:qFormat/>
    <w:pPr>
      <w:ind w:firstLine="420"/>
    </w:pPr>
  </w:style>
  <w:style w:type="paragraph" w:styleId="766" w:customStyle="1">
    <w:name w:val="正文文本缩进1"/>
    <w:next w:val="767"/>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767"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768" w:customStyle="1">
    <w:name w:val="正文文本缩进11"/>
    <w:basedOn w:val="714"/>
    <w:next w:val="769"/>
    <w:uiPriority w:val="0"/>
    <w:qFormat/>
    <w:pPr>
      <w:ind w:firstLine="645"/>
    </w:pPr>
    <w:rPr>
      <w:rFonts w:ascii="楷体_GB2312" w:eastAsia="楷体_GB2312" w:cs="宋体"/>
      <w:sz w:val="32"/>
      <w:szCs w:val="32"/>
    </w:rPr>
  </w:style>
  <w:style w:type="paragraph" w:styleId="769" w:customStyle="1">
    <w:name w:val="寄信人地址11"/>
    <w:basedOn w:val="714"/>
    <w:uiPriority w:val="0"/>
    <w:unhideWhenUsed/>
    <w:qFormat/>
    <w:pPr>
      <w:ind w:firstLine="480"/>
      <w:spacing w:line="360" w:lineRule="auto"/>
    </w:pPr>
    <w:rPr>
      <w:rFonts w:ascii="Arial" w:hAnsi="Arial" w:cs="Arial"/>
    </w:rPr>
  </w:style>
  <w:style w:type="paragraph" w:styleId="770" w:customStyle="1">
    <w:name w:val="首行缩进"/>
    <w:basedOn w:val="714"/>
    <w:next w:val="714"/>
    <w:uiPriority w:val="0"/>
    <w:qFormat/>
    <w:pPr>
      <w:ind w:firstLine="480"/>
      <w:jc w:val="left"/>
      <w:spacing w:line="360" w:lineRule="auto"/>
    </w:pPr>
    <w:rPr>
      <w:rFonts w:ascii="宋体" w:hAnsi="宋体"/>
      <w:sz w:val="24"/>
    </w:rPr>
  </w:style>
  <w:style w:type="character" w:styleId="771" w:customStyle="1">
    <w:name w:val="标题 1 Char"/>
    <w:link w:val="715"/>
    <w:uiPriority w:val="9"/>
    <w:qFormat/>
    <w:rPr>
      <w:rFonts w:ascii="Arial" w:hAnsi="Arial" w:eastAsia="Arial" w:cs="Arial"/>
      <w:sz w:val="40"/>
      <w:szCs w:val="40"/>
    </w:rPr>
  </w:style>
  <w:style w:type="character" w:styleId="772" w:customStyle="1">
    <w:name w:val="标题 2 Char"/>
    <w:link w:val="716"/>
    <w:uiPriority w:val="9"/>
    <w:qFormat/>
    <w:rPr>
      <w:rFonts w:ascii="Arial" w:hAnsi="Arial" w:eastAsia="Arial" w:cs="Arial"/>
      <w:sz w:val="34"/>
    </w:rPr>
  </w:style>
  <w:style w:type="character" w:styleId="773" w:customStyle="1">
    <w:name w:val="标题 3 Char"/>
    <w:link w:val="717"/>
    <w:uiPriority w:val="9"/>
    <w:qFormat/>
    <w:rPr>
      <w:rFonts w:ascii="Arial" w:hAnsi="Arial" w:eastAsia="Arial" w:cs="Arial"/>
      <w:sz w:val="30"/>
      <w:szCs w:val="30"/>
    </w:rPr>
  </w:style>
  <w:style w:type="character" w:styleId="774" w:customStyle="1">
    <w:name w:val="标题 4 Char1"/>
    <w:link w:val="718"/>
    <w:uiPriority w:val="9"/>
    <w:qFormat/>
    <w:rPr>
      <w:rFonts w:ascii="Arial" w:hAnsi="Arial" w:eastAsia="Arial" w:cs="Arial"/>
      <w:b/>
      <w:bCs/>
      <w:sz w:val="26"/>
      <w:szCs w:val="26"/>
    </w:rPr>
  </w:style>
  <w:style w:type="character" w:styleId="775" w:customStyle="1">
    <w:name w:val="标题 5 Char"/>
    <w:link w:val="719"/>
    <w:uiPriority w:val="9"/>
    <w:qFormat/>
    <w:rPr>
      <w:rFonts w:ascii="Arial" w:hAnsi="Arial" w:eastAsia="Arial" w:cs="Arial"/>
      <w:b/>
      <w:bCs/>
      <w:sz w:val="24"/>
      <w:szCs w:val="24"/>
    </w:rPr>
  </w:style>
  <w:style w:type="character" w:styleId="776" w:customStyle="1">
    <w:name w:val="标题 6 Char"/>
    <w:link w:val="720"/>
    <w:uiPriority w:val="9"/>
    <w:qFormat/>
    <w:rPr>
      <w:rFonts w:ascii="Arial" w:hAnsi="Arial" w:eastAsia="Arial" w:cs="Arial"/>
      <w:b/>
      <w:bCs/>
      <w:sz w:val="22"/>
      <w:szCs w:val="22"/>
    </w:rPr>
  </w:style>
  <w:style w:type="character" w:styleId="777" w:customStyle="1">
    <w:name w:val="标题 7 Char"/>
    <w:link w:val="721"/>
    <w:uiPriority w:val="9"/>
    <w:qFormat/>
    <w:rPr>
      <w:rFonts w:ascii="Arial" w:hAnsi="Arial" w:eastAsia="Arial" w:cs="Arial"/>
      <w:b/>
      <w:bCs/>
      <w:i/>
      <w:iCs/>
      <w:sz w:val="22"/>
      <w:szCs w:val="22"/>
    </w:rPr>
  </w:style>
  <w:style w:type="character" w:styleId="778" w:customStyle="1">
    <w:name w:val="标题 8 Char"/>
    <w:basedOn w:val="724"/>
    <w:link w:val="722"/>
    <w:uiPriority w:val="9"/>
    <w:qFormat/>
    <w:rPr>
      <w:rFonts w:ascii="Arial" w:hAnsi="Arial" w:eastAsia="Arial" w:cs="Arial"/>
      <w:i/>
      <w:iCs/>
      <w:sz w:val="22"/>
      <w:szCs w:val="22"/>
    </w:rPr>
  </w:style>
  <w:style w:type="character" w:styleId="779" w:customStyle="1">
    <w:name w:val="标题 9 Char"/>
    <w:link w:val="723"/>
    <w:uiPriority w:val="9"/>
    <w:qFormat/>
    <w:rPr>
      <w:rFonts w:ascii="Arial" w:hAnsi="Arial" w:eastAsia="Arial" w:cs="Arial"/>
      <w:i/>
      <w:iCs/>
      <w:sz w:val="21"/>
      <w:szCs w:val="21"/>
    </w:rPr>
  </w:style>
  <w:style w:type="paragraph" w:styleId="780">
    <w:name w:val="List Paragraph"/>
    <w:basedOn w:val="714"/>
    <w:uiPriority w:val="34"/>
    <w:qFormat/>
    <w:pPr>
      <w:contextualSpacing/>
      <w:ind w:left="720"/>
    </w:p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标题 Char"/>
    <w:link w:val="757"/>
    <w:uiPriority w:val="10"/>
    <w:qFormat/>
    <w:rPr>
      <w:sz w:val="48"/>
      <w:szCs w:val="48"/>
    </w:rPr>
  </w:style>
  <w:style w:type="character" w:styleId="783" w:customStyle="1">
    <w:name w:val="副标题 Char"/>
    <w:link w:val="750"/>
    <w:uiPriority w:val="11"/>
    <w:qFormat/>
    <w:rPr>
      <w:sz w:val="24"/>
      <w:szCs w:val="24"/>
    </w:rPr>
  </w:style>
  <w:style w:type="paragraph" w:styleId="784">
    <w:name w:val="Quote"/>
    <w:basedOn w:val="714"/>
    <w:next w:val="714"/>
    <w:link w:val="785"/>
    <w:uiPriority w:val="29"/>
    <w:qFormat/>
    <w:pPr>
      <w:ind w:left="720" w:right="720"/>
    </w:pPr>
    <w:rPr>
      <w:i/>
    </w:rPr>
  </w:style>
  <w:style w:type="character" w:styleId="785" w:customStyle="1">
    <w:name w:val="引用 Char"/>
    <w:link w:val="784"/>
    <w:uiPriority w:val="29"/>
    <w:qFormat/>
    <w:rPr>
      <w:i/>
    </w:rPr>
  </w:style>
  <w:style w:type="paragraph" w:styleId="786">
    <w:name w:val="Intense Quote"/>
    <w:basedOn w:val="714"/>
    <w:next w:val="714"/>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
    <w:link w:val="747"/>
    <w:uiPriority w:val="99"/>
    <w:qFormat/>
  </w:style>
  <w:style w:type="character" w:styleId="789" w:customStyle="1">
    <w:name w:val="Footer Char"/>
    <w:uiPriority w:val="99"/>
    <w:qFormat/>
  </w:style>
  <w:style w:type="character" w:styleId="790" w:customStyle="1">
    <w:name w:val="页脚 Char"/>
    <w:link w:val="745"/>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
    <w:link w:val="751"/>
    <w:uiPriority w:val="99"/>
    <w:qFormat/>
    <w:rPr>
      <w:sz w:val="18"/>
    </w:rPr>
  </w:style>
  <w:style w:type="character" w:styleId="917" w:customStyle="1">
    <w:name w:val="尾注文本 Char"/>
    <w:link w:val="743"/>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customStyle="1">
    <w:name w:val="标题 21"/>
    <w:basedOn w:val="714"/>
    <w:next w:val="714"/>
    <w:uiPriority w:val="0"/>
    <w:qFormat/>
    <w:pPr>
      <w:jc w:val="center"/>
      <w:keepLines/>
      <w:keepNext/>
      <w:spacing w:before="260" w:after="260" w:line="415" w:lineRule="auto"/>
      <w:outlineLvl w:val="1"/>
    </w:pPr>
    <w:rPr>
      <w:rFonts w:ascii="Arial" w:hAnsi="Arial" w:eastAsia="幼圆"/>
      <w:b/>
      <w:bCs/>
      <w:sz w:val="44"/>
      <w:szCs w:val="44"/>
    </w:rPr>
  </w:style>
  <w:style w:type="character" w:styleId="920" w:customStyle="1">
    <w:name w:val="默认段落字体11"/>
    <w:uiPriority w:val="0"/>
    <w:semiHidden/>
    <w:qFormat/>
  </w:style>
  <w:style w:type="table" w:styleId="921" w:customStyle="1">
    <w:name w:val="普通表格1"/>
    <w:uiPriority w:val="0"/>
    <w:semiHidden/>
    <w:qFormat/>
    <w:tblPr>
      <w:tblLayout w:type="fixed"/>
      <w:tblCellMar>
        <w:left w:w="0" w:type="dxa"/>
        <w:top w:w="0" w:type="dxa"/>
        <w:right w:w="0" w:type="dxa"/>
        <w:bottom w:w="0" w:type="dxa"/>
      </w:tblCellMar>
    </w:tblPr>
  </w:style>
  <w:style w:type="character" w:styleId="922" w:customStyle="1">
    <w:name w:val="标题 3 字符"/>
    <w:link w:val="764"/>
    <w:uiPriority w:val="0"/>
    <w:semiHidden/>
    <w:qFormat/>
    <w:rPr>
      <w:b/>
      <w:bCs/>
      <w:sz w:val="32"/>
      <w:szCs w:val="32"/>
    </w:rPr>
  </w:style>
  <w:style w:type="paragraph" w:styleId="923" w:customStyle="1">
    <w:name w:val="批注文字1"/>
    <w:basedOn w:val="714"/>
    <w:uiPriority w:val="0"/>
    <w:qFormat/>
    <w:pPr>
      <w:jc w:val="left"/>
    </w:pPr>
  </w:style>
  <w:style w:type="paragraph" w:styleId="924" w:customStyle="1">
    <w:name w:val="正文文本1"/>
    <w:basedOn w:val="714"/>
    <w:uiPriority w:val="99"/>
    <w:qFormat/>
    <w:rPr>
      <w:rFonts w:ascii="楷体_GB2312" w:hAnsi="宋体" w:eastAsia="楷体_GB2312"/>
      <w:sz w:val="28"/>
      <w:szCs w:val="28"/>
    </w:rPr>
  </w:style>
  <w:style w:type="paragraph" w:styleId="925" w:customStyle="1">
    <w:name w:val="日期1"/>
    <w:basedOn w:val="714"/>
    <w:next w:val="714"/>
    <w:uiPriority w:val="0"/>
    <w:qFormat/>
    <w:rPr>
      <w:sz w:val="24"/>
    </w:rPr>
  </w:style>
  <w:style w:type="paragraph" w:styleId="926" w:customStyle="1">
    <w:name w:val="页脚1"/>
    <w:basedOn w:val="714"/>
    <w:uiPriority w:val="99"/>
    <w:qFormat/>
    <w:pPr>
      <w:jc w:val="left"/>
      <w:tabs>
        <w:tab w:val="center" w:pos="4153" w:leader="none"/>
        <w:tab w:val="right" w:pos="8306" w:leader="none"/>
      </w:tabs>
    </w:pPr>
    <w:rPr>
      <w:sz w:val="18"/>
      <w:szCs w:val="18"/>
    </w:rPr>
  </w:style>
  <w:style w:type="paragraph" w:styleId="927" w:customStyle="1">
    <w:name w:val="页眉1"/>
    <w:basedOn w:val="714"/>
    <w:uiPriority w:val="99"/>
    <w:qFormat/>
    <w:pPr>
      <w:jc w:val="center"/>
      <w:tabs>
        <w:tab w:val="center" w:pos="4153" w:leader="none"/>
        <w:tab w:val="right" w:pos="8306" w:leader="none"/>
      </w:tabs>
      <w:pBdr>
        <w:bottom w:val="single" w:color="000000" w:sz="6" w:space="1"/>
      </w:pBdr>
    </w:pPr>
    <w:rPr>
      <w:sz w:val="18"/>
      <w:szCs w:val="18"/>
    </w:rPr>
  </w:style>
  <w:style w:type="paragraph" w:styleId="928" w:customStyle="1">
    <w:name w:val="目录 11"/>
    <w:basedOn w:val="714"/>
    <w:next w:val="714"/>
    <w:uiPriority w:val="39"/>
    <w:qFormat/>
    <w:pPr>
      <w:jc w:val="left"/>
      <w:spacing w:before="120" w:after="120"/>
    </w:pPr>
    <w:rPr>
      <w:rFonts w:ascii="Calibri" w:hAnsi="Calibri" w:cs="Calibri"/>
      <w:b/>
      <w:bCs/>
      <w:caps/>
      <w:sz w:val="20"/>
      <w:szCs w:val="20"/>
    </w:rPr>
  </w:style>
  <w:style w:type="paragraph" w:styleId="929" w:customStyle="1">
    <w:name w:val="目录 21"/>
    <w:basedOn w:val="714"/>
    <w:next w:val="714"/>
    <w:uiPriority w:val="39"/>
    <w:qFormat/>
    <w:pPr>
      <w:ind w:left="210"/>
      <w:jc w:val="left"/>
    </w:pPr>
    <w:rPr>
      <w:rFonts w:ascii="Calibri" w:hAnsi="Calibri" w:cs="Calibri"/>
      <w:smallCaps/>
      <w:sz w:val="20"/>
      <w:szCs w:val="20"/>
    </w:rPr>
  </w:style>
  <w:style w:type="paragraph" w:styleId="930" w:customStyle="1">
    <w:name w:val="标题1"/>
    <w:basedOn w:val="714"/>
    <w:uiPriority w:val="0"/>
    <w:qFormat/>
    <w:pPr>
      <w:jc w:val="center"/>
      <w:spacing w:before="240" w:after="60"/>
      <w:outlineLvl w:val="0"/>
    </w:pPr>
    <w:rPr>
      <w:rFonts w:ascii="Arial" w:hAnsi="Arial" w:eastAsia="黑体"/>
      <w:b/>
      <w:bCs/>
      <w:sz w:val="44"/>
      <w:szCs w:val="32"/>
    </w:rPr>
  </w:style>
  <w:style w:type="character" w:styleId="931" w:customStyle="1">
    <w:name w:val="页码1"/>
    <w:uiPriority w:val="0"/>
    <w:qFormat/>
  </w:style>
  <w:style w:type="character" w:styleId="932" w:customStyle="1">
    <w:name w:val="超链接1"/>
    <w:uiPriority w:val="99"/>
    <w:qFormat/>
    <w:rPr>
      <w:color w:val="0000ff"/>
      <w:u w:val="single"/>
    </w:rPr>
  </w:style>
  <w:style w:type="character" w:styleId="933" w:customStyle="1">
    <w:name w:val="默认段落字体1"/>
    <w:uiPriority w:val="0"/>
    <w:semiHidden/>
    <w:qFormat/>
    <w:rPr>
      <w:sz w:val="21"/>
      <w:szCs w:val="22"/>
      <w:lang w:val="en-US" w:eastAsia="zh-CN" w:bidi="ar-SA"/>
    </w:rPr>
  </w:style>
  <w:style w:type="character" w:styleId="934" w:customStyle="1">
    <w:name w:val="标题 4 Char"/>
    <w:uiPriority w:val="0"/>
    <w:qFormat/>
    <w:rPr>
      <w:rFonts w:ascii="Cambria" w:hAnsi="Cambria" w:eastAsia="宋体" w:cs="Times New Roman"/>
      <w:b/>
      <w:bCs/>
      <w:sz w:val="28"/>
      <w:szCs w:val="28"/>
    </w:rPr>
  </w:style>
  <w:style w:type="paragraph" w:styleId="935" w:customStyle="1">
    <w:name w:val="Normal_11"/>
    <w:uiPriority w:val="0"/>
    <w:qFormat/>
    <w:rPr>
      <w:rFonts w:ascii="Times New Roman" w:hAnsi="Times New Roman" w:eastAsia="Times New Roman" w:cs="Times New Roman"/>
      <w:sz w:val="24"/>
      <w:szCs w:val="24"/>
      <w:lang w:val="en-US" w:eastAsia="zh-CN" w:bidi="ar-SA"/>
    </w:rPr>
  </w:style>
  <w:style w:type="paragraph" w:styleId="936" w:customStyle="1">
    <w:name w:val="Normal_48"/>
    <w:uiPriority w:val="0"/>
    <w:qFormat/>
    <w:rPr>
      <w:rFonts w:ascii="Times New Roman" w:hAnsi="Times New Roman" w:eastAsia="Times New Roman" w:cs="Times New Roman"/>
      <w:sz w:val="24"/>
      <w:szCs w:val="24"/>
      <w:lang w:val="en-US" w:eastAsia="zh-CN" w:bidi="ar-SA"/>
    </w:rPr>
  </w:style>
  <w:style w:type="paragraph" w:styleId="937" w:customStyle="1">
    <w:name w:val="Normal_4_0"/>
    <w:uiPriority w:val="0"/>
    <w:qFormat/>
    <w:rPr>
      <w:rFonts w:ascii="Times New Roman" w:hAnsi="Times New Roman" w:eastAsia="Times New Roman" w:cs="Times New Roman"/>
      <w:sz w:val="24"/>
      <w:szCs w:val="24"/>
      <w:lang w:val="en-US" w:eastAsia="zh-CN" w:bidi="ar-SA"/>
    </w:rPr>
  </w:style>
  <w:style w:type="paragraph" w:styleId="938" w:customStyle="1">
    <w:name w:val="Normal_0_2"/>
    <w:uiPriority w:val="0"/>
    <w:qFormat/>
    <w:rPr>
      <w:rFonts w:ascii="Times New Roman" w:hAnsi="Times New Roman" w:eastAsia="Times New Roman" w:cs="Times New Roman"/>
      <w:sz w:val="24"/>
      <w:szCs w:val="24"/>
      <w:lang w:val="en-US" w:eastAsia="zh-CN" w:bidi="ar-SA"/>
    </w:rPr>
  </w:style>
  <w:style w:type="paragraph" w:styleId="939" w:customStyle="1">
    <w:name w:val="Normal_36"/>
    <w:uiPriority w:val="0"/>
    <w:qFormat/>
    <w:rPr>
      <w:rFonts w:ascii="Times New Roman" w:hAnsi="Times New Roman" w:eastAsia="Times New Roman" w:cs="Times New Roman"/>
      <w:sz w:val="24"/>
      <w:szCs w:val="24"/>
      <w:lang w:val="en-US" w:eastAsia="zh-CN" w:bidi="ar-SA"/>
    </w:rPr>
  </w:style>
  <w:style w:type="paragraph" w:styleId="940" w:customStyle="1">
    <w:name w:val="Normal_17"/>
    <w:uiPriority w:val="0"/>
    <w:qFormat/>
    <w:rPr>
      <w:rFonts w:ascii="Times New Roman" w:hAnsi="Times New Roman" w:eastAsia="Times New Roman" w:cs="Times New Roman"/>
      <w:sz w:val="24"/>
      <w:szCs w:val="24"/>
      <w:lang w:val="en-US" w:eastAsia="zh-CN" w:bidi="ar-SA"/>
    </w:rPr>
  </w:style>
  <w:style w:type="paragraph" w:styleId="941" w:customStyle="1">
    <w:name w:val="Normal_4"/>
    <w:uiPriority w:val="0"/>
    <w:qFormat/>
    <w:rPr>
      <w:rFonts w:ascii="Times New Roman" w:hAnsi="Times New Roman" w:eastAsia="Times New Roman" w:cs="Times New Roman"/>
      <w:sz w:val="24"/>
      <w:szCs w:val="24"/>
      <w:lang w:val="en-US" w:eastAsia="zh-CN" w:bidi="ar-SA"/>
    </w:rPr>
  </w:style>
  <w:style w:type="paragraph" w:styleId="942" w:customStyle="1">
    <w:name w:val="正文_1"/>
    <w:next w:val="943"/>
    <w:uiPriority w:val="0"/>
    <w:qFormat/>
    <w:pPr>
      <w:jc w:val="both"/>
      <w:widowControl w:val="off"/>
    </w:pPr>
    <w:rPr>
      <w:rFonts w:ascii="Times New Roman" w:hAnsi="Times New Roman" w:eastAsia="宋体" w:cs="Times New Roman"/>
      <w:sz w:val="21"/>
      <w:lang w:val="en-US" w:eastAsia="zh-CN" w:bidi="ar-SA"/>
    </w:rPr>
  </w:style>
  <w:style w:type="paragraph" w:styleId="943" w:customStyle="1">
    <w:name w:val="正文文本_0"/>
    <w:basedOn w:val="942"/>
    <w:uiPriority w:val="0"/>
    <w:qFormat/>
    <w:pPr>
      <w:spacing w:line="400" w:lineRule="exact"/>
    </w:pPr>
    <w:rPr>
      <w:sz w:val="24"/>
    </w:rPr>
  </w:style>
  <w:style w:type="paragraph" w:styleId="944" w:customStyle="1">
    <w:name w:val="Normal_33"/>
    <w:uiPriority w:val="0"/>
    <w:qFormat/>
    <w:rPr>
      <w:rFonts w:ascii="Times New Roman" w:hAnsi="Times New Roman" w:eastAsia="Times New Roman" w:cs="Times New Roman"/>
      <w:sz w:val="24"/>
      <w:szCs w:val="24"/>
      <w:lang w:val="en-US" w:eastAsia="zh-CN" w:bidi="ar-SA"/>
    </w:rPr>
  </w:style>
  <w:style w:type="paragraph" w:styleId="945" w:customStyle="1">
    <w:name w:val="Normal_25"/>
    <w:uiPriority w:val="0"/>
    <w:qFormat/>
    <w:rPr>
      <w:rFonts w:ascii="Times New Roman" w:hAnsi="Times New Roman" w:eastAsia="Times New Roman" w:cs="Times New Roman"/>
      <w:sz w:val="24"/>
      <w:szCs w:val="24"/>
      <w:lang w:val="en-US" w:eastAsia="zh-CN" w:bidi="ar-SA"/>
    </w:rPr>
  </w:style>
  <w:style w:type="paragraph" w:styleId="946" w:customStyle="1">
    <w:name w:val="Normal_30"/>
    <w:uiPriority w:val="0"/>
    <w:qFormat/>
    <w:rPr>
      <w:rFonts w:ascii="Times New Roman" w:hAnsi="Times New Roman" w:eastAsia="Times New Roman" w:cs="Times New Roman"/>
      <w:sz w:val="24"/>
      <w:szCs w:val="24"/>
      <w:lang w:val="en-US" w:eastAsia="zh-CN" w:bidi="ar-SA"/>
    </w:rPr>
  </w:style>
  <w:style w:type="paragraph" w:styleId="947" w:customStyle="1">
    <w:name w:val="Normal_0"/>
    <w:basedOn w:val="948"/>
    <w:next w:val="950"/>
    <w:uiPriority w:val="0"/>
    <w:qFormat/>
    <w:pPr>
      <w:jc w:val="both"/>
      <w:widowControl w:val="off"/>
    </w:pPr>
    <w:rPr>
      <w:sz w:val="21"/>
    </w:rPr>
  </w:style>
  <w:style w:type="paragraph" w:styleId="948" w:customStyle="1">
    <w:name w:val="Normal_1"/>
    <w:next w:val="949"/>
    <w:uiPriority w:val="0"/>
    <w:qFormat/>
    <w:rPr>
      <w:rFonts w:ascii="Times New Roman" w:hAnsi="Times New Roman" w:eastAsia="Times New Roman" w:cs="Times New Roman"/>
      <w:sz w:val="24"/>
      <w:szCs w:val="24"/>
      <w:lang w:val="en-US" w:eastAsia="zh-CN" w:bidi="ar-SA"/>
    </w:rPr>
  </w:style>
  <w:style w:type="paragraph" w:styleId="949" w:customStyle="1">
    <w:name w:val="首行缩进_0_0"/>
    <w:basedOn w:val="947"/>
    <w:uiPriority w:val="0"/>
    <w:qFormat/>
    <w:pPr>
      <w:ind w:firstLine="480"/>
      <w:jc w:val="left"/>
      <w:spacing w:line="360" w:lineRule="auto"/>
    </w:pPr>
    <w:rPr>
      <w:rFonts w:ascii="宋体" w:hAnsi="宋体"/>
      <w:sz w:val="24"/>
    </w:rPr>
  </w:style>
  <w:style w:type="paragraph" w:styleId="950" w:customStyle="1">
    <w:name w:val="首行缩进_0"/>
    <w:basedOn w:val="947"/>
    <w:uiPriority w:val="0"/>
    <w:qFormat/>
    <w:pPr>
      <w:ind w:firstLine="480"/>
      <w:jc w:val="left"/>
      <w:spacing w:line="360" w:lineRule="auto"/>
    </w:pPr>
    <w:rPr>
      <w:rFonts w:ascii="宋体" w:hAnsi="宋体"/>
      <w:sz w:val="24"/>
    </w:rPr>
  </w:style>
  <w:style w:type="paragraph" w:styleId="951" w:customStyle="1">
    <w:name w:val="Normal_10"/>
    <w:uiPriority w:val="0"/>
    <w:qFormat/>
    <w:rPr>
      <w:rFonts w:ascii="Times New Roman" w:hAnsi="Times New Roman" w:eastAsia="Times New Roman" w:cs="Times New Roman"/>
      <w:sz w:val="24"/>
      <w:szCs w:val="24"/>
      <w:lang w:val="en-US" w:eastAsia="zh-CN" w:bidi="ar-SA"/>
    </w:rPr>
  </w:style>
  <w:style w:type="paragraph" w:styleId="952" w:customStyle="1">
    <w:name w:val="Normal_6_0"/>
    <w:uiPriority w:val="0"/>
    <w:qFormat/>
    <w:rPr>
      <w:rFonts w:ascii="Times New Roman" w:hAnsi="Times New Roman" w:eastAsia="Times New Roman" w:cs="Times New Roman"/>
      <w:sz w:val="24"/>
      <w:szCs w:val="24"/>
      <w:lang w:val="en-US" w:eastAsia="zh-CN" w:bidi="ar-SA"/>
    </w:rPr>
  </w:style>
  <w:style w:type="paragraph" w:styleId="953" w:customStyle="1">
    <w:name w:val="正文_3"/>
    <w:next w:val="954"/>
    <w:uiPriority w:val="0"/>
    <w:qFormat/>
    <w:pPr>
      <w:jc w:val="both"/>
      <w:widowControl w:val="off"/>
    </w:pPr>
    <w:rPr>
      <w:rFonts w:ascii="Times New Roman" w:hAnsi="Times New Roman" w:eastAsia="宋体" w:cs="Times New Roman"/>
      <w:sz w:val="21"/>
      <w:lang w:val="en-US" w:eastAsia="zh-CN" w:bidi="ar-SA"/>
    </w:rPr>
  </w:style>
  <w:style w:type="paragraph" w:styleId="954" w:customStyle="1">
    <w:name w:val="正文文本_1"/>
    <w:basedOn w:val="953"/>
    <w:uiPriority w:val="0"/>
    <w:qFormat/>
    <w:pPr>
      <w:spacing w:line="400" w:lineRule="exact"/>
    </w:pPr>
    <w:rPr>
      <w:sz w:val="24"/>
    </w:rPr>
  </w:style>
  <w:style w:type="paragraph" w:styleId="955" w:customStyle="1">
    <w:name w:val="Normal_9_0"/>
    <w:uiPriority w:val="0"/>
    <w:qFormat/>
    <w:rPr>
      <w:rFonts w:ascii="Times New Roman" w:hAnsi="Times New Roman" w:eastAsia="Times New Roman" w:cs="Times New Roman"/>
      <w:sz w:val="24"/>
      <w:szCs w:val="24"/>
      <w:lang w:val="en-US" w:eastAsia="zh-CN" w:bidi="ar-SA"/>
    </w:rPr>
  </w:style>
  <w:style w:type="paragraph" w:styleId="956" w:customStyle="1">
    <w:name w:val="Normal_6"/>
    <w:uiPriority w:val="0"/>
    <w:qFormat/>
    <w:rPr>
      <w:rFonts w:ascii="Times New Roman" w:hAnsi="Times New Roman" w:eastAsia="Times New Roman" w:cs="Times New Roman"/>
      <w:sz w:val="24"/>
      <w:szCs w:val="24"/>
      <w:lang w:val="en-US" w:eastAsia="zh-CN" w:bidi="ar-SA"/>
    </w:rPr>
  </w:style>
  <w:style w:type="paragraph" w:styleId="957" w:customStyle="1">
    <w:name w:val="Normal_22"/>
    <w:uiPriority w:val="0"/>
    <w:qFormat/>
    <w:rPr>
      <w:rFonts w:ascii="Times New Roman" w:hAnsi="Times New Roman" w:eastAsia="Times New Roman" w:cs="Times New Roman"/>
      <w:sz w:val="24"/>
      <w:szCs w:val="24"/>
      <w:lang w:val="en-US" w:eastAsia="zh-CN" w:bidi="ar-SA"/>
    </w:rPr>
  </w:style>
  <w:style w:type="paragraph" w:styleId="958" w:customStyle="1">
    <w:name w:val="Normal_50"/>
    <w:uiPriority w:val="0"/>
    <w:qFormat/>
    <w:rPr>
      <w:rFonts w:ascii="Times New Roman" w:hAnsi="Times New Roman" w:eastAsia="Times New Roman" w:cs="Times New Roman"/>
      <w:sz w:val="24"/>
      <w:szCs w:val="24"/>
      <w:lang w:val="en-US" w:eastAsia="zh-CN" w:bidi="ar-SA"/>
    </w:rPr>
  </w:style>
  <w:style w:type="paragraph" w:styleId="959" w:customStyle="1">
    <w:name w:val="Normal_9"/>
    <w:uiPriority w:val="0"/>
    <w:qFormat/>
    <w:rPr>
      <w:rFonts w:ascii="Times New Roman" w:hAnsi="Times New Roman" w:eastAsia="Times New Roman" w:cs="Times New Roman"/>
      <w:sz w:val="24"/>
      <w:szCs w:val="24"/>
      <w:lang w:val="en-US" w:eastAsia="zh-CN" w:bidi="ar-SA"/>
    </w:rPr>
  </w:style>
  <w:style w:type="paragraph" w:styleId="960" w:customStyle="1">
    <w:name w:val="Normal_0_0"/>
    <w:uiPriority w:val="0"/>
    <w:qFormat/>
    <w:rPr>
      <w:rFonts w:ascii="Times New Roman" w:hAnsi="Times New Roman" w:eastAsia="Times New Roman" w:cs="Times New Roman"/>
      <w:sz w:val="24"/>
      <w:szCs w:val="24"/>
      <w:lang w:val="en-US" w:eastAsia="zh-CN" w:bidi="ar-SA"/>
    </w:rPr>
  </w:style>
  <w:style w:type="paragraph" w:styleId="961" w:customStyle="1">
    <w:name w:val="Normal_53"/>
    <w:uiPriority w:val="0"/>
    <w:qFormat/>
    <w:rPr>
      <w:rFonts w:ascii="Times New Roman" w:hAnsi="Times New Roman" w:eastAsia="Times New Roman" w:cs="Times New Roman"/>
      <w:sz w:val="24"/>
      <w:szCs w:val="24"/>
      <w:lang w:val="en-US" w:eastAsia="zh-CN" w:bidi="ar-SA"/>
    </w:rPr>
  </w:style>
  <w:style w:type="paragraph" w:styleId="962" w:customStyle="1">
    <w:name w:val="普通正文"/>
    <w:basedOn w:val="714"/>
    <w:uiPriority w:val="0"/>
    <w:qFormat/>
    <w:pPr>
      <w:ind w:firstLine="480"/>
      <w:jc w:val="left"/>
      <w:spacing w:before="120" w:after="120" w:line="360" w:lineRule="auto"/>
    </w:pPr>
    <w:rPr>
      <w:rFonts w:ascii="Arial" w:hAnsi="Arial"/>
      <w:sz w:val="24"/>
    </w:rPr>
  </w:style>
  <w:style w:type="paragraph" w:styleId="96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64" w:customStyle="1">
    <w:name w:val="Normal_46"/>
    <w:uiPriority w:val="0"/>
    <w:qFormat/>
    <w:rPr>
      <w:rFonts w:ascii="Times New Roman" w:hAnsi="Times New Roman" w:eastAsia="Times New Roman" w:cs="Times New Roman"/>
      <w:sz w:val="24"/>
      <w:szCs w:val="24"/>
      <w:lang w:val="en-US" w:eastAsia="zh-CN" w:bidi="ar-SA"/>
    </w:rPr>
  </w:style>
  <w:style w:type="paragraph" w:styleId="965" w:customStyle="1">
    <w:name w:val="Normal_0_1"/>
    <w:uiPriority w:val="0"/>
    <w:qFormat/>
    <w:rPr>
      <w:rFonts w:ascii="Times New Roman" w:hAnsi="Times New Roman" w:eastAsia="Times New Roman" w:cs="Times New Roman"/>
      <w:sz w:val="24"/>
      <w:szCs w:val="24"/>
      <w:lang w:val="en-US" w:eastAsia="zh-CN" w:bidi="ar-SA"/>
    </w:rPr>
  </w:style>
  <w:style w:type="paragraph" w:styleId="966" w:customStyle="1">
    <w:name w:val="Normal_0_4"/>
    <w:uiPriority w:val="0"/>
    <w:qFormat/>
    <w:rPr>
      <w:rFonts w:ascii="Times New Roman" w:hAnsi="Times New Roman" w:eastAsia="Times New Roman" w:cs="Times New Roman"/>
      <w:sz w:val="24"/>
      <w:szCs w:val="24"/>
      <w:lang w:val="en-US" w:eastAsia="zh-CN" w:bidi="ar-SA"/>
    </w:rPr>
  </w:style>
  <w:style w:type="paragraph" w:styleId="967" w:customStyle="1">
    <w:name w:val="Normal_3"/>
    <w:uiPriority w:val="0"/>
    <w:qFormat/>
    <w:rPr>
      <w:rFonts w:ascii="Times New Roman" w:hAnsi="Times New Roman" w:eastAsia="Times New Roman" w:cs="Times New Roman"/>
      <w:sz w:val="24"/>
      <w:szCs w:val="24"/>
      <w:lang w:val="en-US" w:eastAsia="zh-CN" w:bidi="ar-SA"/>
    </w:rPr>
  </w:style>
  <w:style w:type="paragraph" w:styleId="968" w:customStyle="1">
    <w:name w:val="Normal_5_1"/>
    <w:uiPriority w:val="0"/>
    <w:qFormat/>
    <w:rPr>
      <w:rFonts w:ascii="Times New Roman" w:hAnsi="Times New Roman" w:eastAsia="Times New Roman" w:cs="Times New Roman"/>
      <w:sz w:val="24"/>
      <w:szCs w:val="24"/>
      <w:lang w:val="en-US" w:eastAsia="zh-CN" w:bidi="ar-SA"/>
    </w:rPr>
  </w:style>
  <w:style w:type="paragraph" w:styleId="969" w:customStyle="1">
    <w:name w:val="Normal_26"/>
    <w:uiPriority w:val="0"/>
    <w:qFormat/>
    <w:rPr>
      <w:rFonts w:ascii="Times New Roman" w:hAnsi="Times New Roman" w:eastAsia="Times New Roman" w:cs="Times New Roman"/>
      <w:sz w:val="24"/>
      <w:szCs w:val="24"/>
      <w:lang w:val="en-US" w:eastAsia="zh-CN" w:bidi="ar-SA"/>
    </w:rPr>
  </w:style>
  <w:style w:type="paragraph" w:styleId="970" w:customStyle="1">
    <w:name w:val="Normal_15_0"/>
    <w:uiPriority w:val="0"/>
    <w:qFormat/>
    <w:rPr>
      <w:rFonts w:ascii="Times New Roman" w:hAnsi="Times New Roman" w:eastAsia="Times New Roman" w:cs="Times New Roman"/>
      <w:sz w:val="24"/>
      <w:szCs w:val="24"/>
      <w:lang w:val="en-US" w:eastAsia="zh-CN" w:bidi="ar-SA"/>
    </w:rPr>
  </w:style>
  <w:style w:type="paragraph" w:styleId="971" w:customStyle="1">
    <w:name w:val="Normal_18_0"/>
    <w:uiPriority w:val="0"/>
    <w:qFormat/>
    <w:rPr>
      <w:rFonts w:ascii="Times New Roman" w:hAnsi="Times New Roman" w:eastAsia="Times New Roman" w:cs="Times New Roman"/>
      <w:sz w:val="24"/>
      <w:szCs w:val="24"/>
      <w:lang w:val="en-US" w:eastAsia="zh-CN" w:bidi="ar-SA"/>
    </w:rPr>
  </w:style>
  <w:style w:type="paragraph" w:styleId="972" w:customStyle="1">
    <w:name w:val="Normal_51"/>
    <w:uiPriority w:val="0"/>
    <w:qFormat/>
    <w:rPr>
      <w:rFonts w:ascii="Times New Roman" w:hAnsi="Times New Roman" w:eastAsia="Times New Roman" w:cs="Times New Roman"/>
      <w:sz w:val="24"/>
      <w:szCs w:val="24"/>
      <w:lang w:val="en-US" w:eastAsia="zh-CN" w:bidi="ar-SA"/>
    </w:rPr>
  </w:style>
  <w:style w:type="paragraph" w:styleId="97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74" w:customStyle="1">
    <w:name w:val="Normal_31"/>
    <w:uiPriority w:val="0"/>
    <w:qFormat/>
    <w:rPr>
      <w:rFonts w:ascii="Times New Roman" w:hAnsi="Times New Roman" w:eastAsia="Times New Roman" w:cs="Times New Roman"/>
      <w:sz w:val="24"/>
      <w:szCs w:val="24"/>
      <w:lang w:val="en-US" w:eastAsia="zh-CN" w:bidi="ar-SA"/>
    </w:rPr>
  </w:style>
  <w:style w:type="paragraph" w:styleId="975" w:customStyle="1">
    <w:name w:val="Normal_13_0"/>
    <w:uiPriority w:val="0"/>
    <w:qFormat/>
    <w:rPr>
      <w:rFonts w:ascii="Times New Roman" w:hAnsi="Times New Roman" w:eastAsia="Times New Roman" w:cs="Times New Roman"/>
      <w:sz w:val="24"/>
      <w:szCs w:val="24"/>
      <w:lang w:val="en-US" w:eastAsia="zh-CN" w:bidi="ar-SA"/>
    </w:rPr>
  </w:style>
  <w:style w:type="paragraph" w:styleId="976" w:customStyle="1">
    <w:name w:val="Normal_11_0"/>
    <w:uiPriority w:val="0"/>
    <w:qFormat/>
    <w:rPr>
      <w:rFonts w:ascii="Times New Roman" w:hAnsi="Times New Roman" w:eastAsia="Times New Roman" w:cs="Times New Roman"/>
      <w:sz w:val="24"/>
      <w:szCs w:val="24"/>
      <w:lang w:val="en-US" w:eastAsia="zh-CN" w:bidi="ar-SA"/>
    </w:rPr>
  </w:style>
  <w:style w:type="paragraph" w:styleId="977" w:customStyle="1">
    <w:name w:val="Normal_45"/>
    <w:uiPriority w:val="0"/>
    <w:qFormat/>
    <w:rPr>
      <w:rFonts w:ascii="Times New Roman" w:hAnsi="Times New Roman" w:eastAsia="Times New Roman" w:cs="Times New Roman"/>
      <w:sz w:val="24"/>
      <w:szCs w:val="24"/>
      <w:lang w:val="en-US" w:eastAsia="zh-CN" w:bidi="ar-SA"/>
    </w:rPr>
  </w:style>
  <w:style w:type="paragraph" w:styleId="978" w:customStyle="1">
    <w:name w:val="Normal_18"/>
    <w:uiPriority w:val="0"/>
    <w:qFormat/>
    <w:rPr>
      <w:rFonts w:ascii="Times New Roman" w:hAnsi="Times New Roman" w:eastAsia="Times New Roman" w:cs="Times New Roman"/>
      <w:sz w:val="24"/>
      <w:szCs w:val="24"/>
      <w:lang w:val="en-US" w:eastAsia="zh-CN" w:bidi="ar-SA"/>
    </w:rPr>
  </w:style>
  <w:style w:type="paragraph" w:styleId="979" w:customStyle="1">
    <w:name w:val="Normal_29"/>
    <w:uiPriority w:val="0"/>
    <w:qFormat/>
    <w:rPr>
      <w:rFonts w:ascii="Times New Roman" w:hAnsi="Times New Roman" w:eastAsia="Times New Roman" w:cs="Times New Roman"/>
      <w:sz w:val="24"/>
      <w:szCs w:val="24"/>
      <w:lang w:val="en-US" w:eastAsia="zh-CN" w:bidi="ar-SA"/>
    </w:rPr>
  </w:style>
  <w:style w:type="paragraph" w:styleId="980" w:customStyle="1">
    <w:name w:val="Normal_34"/>
    <w:uiPriority w:val="0"/>
    <w:qFormat/>
    <w:rPr>
      <w:rFonts w:ascii="Times New Roman" w:hAnsi="Times New Roman" w:eastAsia="Times New Roman" w:cs="Times New Roman"/>
      <w:sz w:val="24"/>
      <w:szCs w:val="24"/>
      <w:lang w:val="en-US" w:eastAsia="zh-CN" w:bidi="ar-SA"/>
    </w:rPr>
  </w:style>
  <w:style w:type="paragraph" w:styleId="981" w:customStyle="1">
    <w:name w:val="Normal_39"/>
    <w:uiPriority w:val="0"/>
    <w:qFormat/>
    <w:rPr>
      <w:rFonts w:ascii="Times New Roman" w:hAnsi="Times New Roman" w:eastAsia="Times New Roman" w:cs="Times New Roman"/>
      <w:sz w:val="24"/>
      <w:szCs w:val="24"/>
      <w:lang w:val="en-US" w:eastAsia="zh-CN" w:bidi="ar-SA"/>
    </w:rPr>
  </w:style>
  <w:style w:type="paragraph" w:styleId="982" w:customStyle="1">
    <w:name w:val="Normal_16"/>
    <w:uiPriority w:val="0"/>
    <w:qFormat/>
    <w:rPr>
      <w:rFonts w:ascii="Times New Roman" w:hAnsi="Times New Roman" w:eastAsia="Times New Roman" w:cs="Times New Roman"/>
      <w:sz w:val="24"/>
      <w:szCs w:val="24"/>
      <w:lang w:val="en-US" w:eastAsia="zh-CN" w:bidi="ar-SA"/>
    </w:rPr>
  </w:style>
  <w:style w:type="paragraph" w:styleId="983" w:customStyle="1">
    <w:name w:val="Normal_0_3"/>
    <w:uiPriority w:val="0"/>
    <w:qFormat/>
    <w:rPr>
      <w:rFonts w:ascii="Times New Roman" w:hAnsi="Times New Roman" w:eastAsia="Times New Roman" w:cs="Times New Roman"/>
      <w:sz w:val="24"/>
      <w:szCs w:val="24"/>
      <w:lang w:val="en-US" w:eastAsia="zh-CN" w:bidi="ar-SA"/>
    </w:rPr>
  </w:style>
  <w:style w:type="paragraph" w:styleId="984" w:customStyle="1">
    <w:name w:val="Normal_20"/>
    <w:uiPriority w:val="0"/>
    <w:qFormat/>
    <w:rPr>
      <w:rFonts w:ascii="Times New Roman" w:hAnsi="Times New Roman" w:eastAsia="Times New Roman" w:cs="Times New Roman"/>
      <w:sz w:val="24"/>
      <w:szCs w:val="24"/>
      <w:lang w:val="en-US" w:eastAsia="zh-CN" w:bidi="ar-SA"/>
    </w:rPr>
  </w:style>
  <w:style w:type="paragraph" w:styleId="985" w:customStyle="1">
    <w:name w:val="Normal_37"/>
    <w:uiPriority w:val="0"/>
    <w:qFormat/>
    <w:rPr>
      <w:rFonts w:ascii="Times New Roman" w:hAnsi="Times New Roman" w:eastAsia="Times New Roman" w:cs="Times New Roman"/>
      <w:sz w:val="24"/>
      <w:szCs w:val="24"/>
      <w:lang w:val="en-US" w:eastAsia="zh-CN" w:bidi="ar-SA"/>
    </w:rPr>
  </w:style>
  <w:style w:type="paragraph" w:styleId="986" w:customStyle="1">
    <w:name w:val="Normal_1_1"/>
    <w:uiPriority w:val="0"/>
    <w:qFormat/>
    <w:rPr>
      <w:rFonts w:ascii="Times New Roman" w:hAnsi="Times New Roman" w:eastAsia="Times New Roman" w:cs="Times New Roman"/>
      <w:sz w:val="24"/>
      <w:szCs w:val="24"/>
      <w:lang w:val="en-US" w:eastAsia="zh-CN" w:bidi="ar-SA"/>
    </w:rPr>
  </w:style>
  <w:style w:type="paragraph" w:styleId="987" w:customStyle="1">
    <w:name w:val="Normal_41"/>
    <w:uiPriority w:val="0"/>
    <w:qFormat/>
    <w:rPr>
      <w:rFonts w:ascii="Times New Roman" w:hAnsi="Times New Roman" w:eastAsia="Times New Roman" w:cs="Times New Roman"/>
      <w:sz w:val="24"/>
      <w:szCs w:val="24"/>
      <w:lang w:val="en-US" w:eastAsia="zh-CN" w:bidi="ar-SA"/>
    </w:rPr>
  </w:style>
  <w:style w:type="paragraph" w:styleId="988" w:customStyle="1">
    <w:name w:val="Normal_1_0"/>
    <w:uiPriority w:val="0"/>
    <w:qFormat/>
    <w:rPr>
      <w:rFonts w:ascii="Times New Roman" w:hAnsi="Times New Roman" w:eastAsia="Times New Roman" w:cs="Times New Roman"/>
      <w:sz w:val="24"/>
      <w:szCs w:val="24"/>
      <w:lang w:val="en-US" w:eastAsia="zh-CN" w:bidi="ar-SA"/>
    </w:rPr>
  </w:style>
  <w:style w:type="paragraph" w:styleId="989" w:customStyle="1">
    <w:name w:val="Normal_47"/>
    <w:uiPriority w:val="0"/>
    <w:qFormat/>
    <w:rPr>
      <w:rFonts w:ascii="Times New Roman" w:hAnsi="Times New Roman" w:eastAsia="Times New Roman" w:cs="Times New Roman"/>
      <w:sz w:val="24"/>
      <w:szCs w:val="24"/>
      <w:lang w:val="en-US" w:eastAsia="zh-CN" w:bidi="ar-SA"/>
    </w:rPr>
  </w:style>
  <w:style w:type="paragraph" w:styleId="990" w:customStyle="1">
    <w:name w:val="Normal_2_0"/>
    <w:uiPriority w:val="0"/>
    <w:qFormat/>
    <w:rPr>
      <w:rFonts w:ascii="Times New Roman" w:hAnsi="Times New Roman" w:eastAsia="Times New Roman" w:cs="Times New Roman"/>
      <w:sz w:val="24"/>
      <w:szCs w:val="24"/>
      <w:lang w:val="en-US" w:eastAsia="zh-CN" w:bidi="ar-SA"/>
    </w:rPr>
  </w:style>
  <w:style w:type="paragraph" w:styleId="991" w:customStyle="1">
    <w:name w:val="Normal_2_1"/>
    <w:uiPriority w:val="0"/>
    <w:qFormat/>
    <w:rPr>
      <w:rFonts w:ascii="Times New Roman" w:hAnsi="Times New Roman" w:eastAsia="Times New Roman" w:cs="Times New Roman"/>
      <w:sz w:val="24"/>
      <w:szCs w:val="24"/>
      <w:lang w:val="en-US" w:eastAsia="zh-CN" w:bidi="ar-SA"/>
    </w:rPr>
  </w:style>
  <w:style w:type="paragraph" w:styleId="992" w:customStyle="1">
    <w:name w:val="Normal_24"/>
    <w:uiPriority w:val="0"/>
    <w:qFormat/>
    <w:rPr>
      <w:rFonts w:ascii="Times New Roman" w:hAnsi="Times New Roman" w:eastAsia="Times New Roman" w:cs="Times New Roman"/>
      <w:sz w:val="24"/>
      <w:szCs w:val="24"/>
      <w:lang w:val="en-US" w:eastAsia="zh-CN" w:bidi="ar-SA"/>
    </w:rPr>
  </w:style>
  <w:style w:type="paragraph" w:styleId="993" w:customStyle="1">
    <w:name w:val="Normal_12"/>
    <w:uiPriority w:val="0"/>
    <w:qFormat/>
    <w:rPr>
      <w:rFonts w:ascii="Times New Roman" w:hAnsi="Times New Roman" w:eastAsia="Times New Roman" w:cs="Times New Roman"/>
      <w:sz w:val="24"/>
      <w:szCs w:val="24"/>
      <w:lang w:val="en-US" w:eastAsia="zh-CN" w:bidi="ar-SA"/>
    </w:rPr>
  </w:style>
  <w:style w:type="paragraph" w:styleId="994" w:customStyle="1">
    <w:name w:val="Normal_13"/>
    <w:uiPriority w:val="0"/>
    <w:qFormat/>
    <w:rPr>
      <w:rFonts w:ascii="Times New Roman" w:hAnsi="Times New Roman" w:eastAsia="Times New Roman" w:cs="Times New Roman"/>
      <w:sz w:val="24"/>
      <w:szCs w:val="24"/>
      <w:lang w:val="en-US" w:eastAsia="zh-CN" w:bidi="ar-SA"/>
    </w:rPr>
  </w:style>
  <w:style w:type="paragraph" w:styleId="995" w:customStyle="1">
    <w:name w:val="正文文本_0_0"/>
    <w:basedOn w:val="996"/>
    <w:uiPriority w:val="0"/>
    <w:qFormat/>
    <w:pPr>
      <w:spacing w:line="400" w:lineRule="exact"/>
    </w:pPr>
    <w:rPr>
      <w:sz w:val="24"/>
    </w:rPr>
  </w:style>
  <w:style w:type="paragraph" w:styleId="996" w:customStyle="1">
    <w:name w:val="正文_2"/>
    <w:next w:val="995"/>
    <w:uiPriority w:val="0"/>
    <w:qFormat/>
    <w:pPr>
      <w:jc w:val="both"/>
      <w:widowControl w:val="off"/>
    </w:pPr>
    <w:rPr>
      <w:rFonts w:ascii="Times New Roman" w:hAnsi="Times New Roman" w:eastAsia="宋体" w:cs="Times New Roman"/>
      <w:sz w:val="21"/>
      <w:lang w:val="en-US" w:eastAsia="zh-CN" w:bidi="ar-SA"/>
    </w:rPr>
  </w:style>
  <w:style w:type="paragraph" w:styleId="997" w:customStyle="1">
    <w:name w:val="Normal_16_0"/>
    <w:uiPriority w:val="0"/>
    <w:qFormat/>
    <w:rPr>
      <w:rFonts w:ascii="Times New Roman" w:hAnsi="Times New Roman" w:eastAsia="Times New Roman" w:cs="Times New Roman"/>
      <w:sz w:val="24"/>
      <w:szCs w:val="24"/>
      <w:lang w:val="en-US" w:eastAsia="zh-CN" w:bidi="ar-SA"/>
    </w:rPr>
  </w:style>
  <w:style w:type="paragraph" w:styleId="998" w:customStyle="1">
    <w:name w:val="Normal_27"/>
    <w:uiPriority w:val="0"/>
    <w:qFormat/>
    <w:rPr>
      <w:rFonts w:ascii="Times New Roman" w:hAnsi="Times New Roman" w:eastAsia="Times New Roman" w:cs="Times New Roman"/>
      <w:sz w:val="24"/>
      <w:szCs w:val="24"/>
      <w:lang w:val="en-US" w:eastAsia="zh-CN" w:bidi="ar-SA"/>
    </w:rPr>
  </w:style>
  <w:style w:type="paragraph" w:styleId="999" w:customStyle="1">
    <w:name w:val="Normal_15"/>
    <w:uiPriority w:val="0"/>
    <w:qFormat/>
    <w:rPr>
      <w:rFonts w:ascii="Times New Roman" w:hAnsi="Times New Roman" w:eastAsia="Times New Roman" w:cs="Times New Roman"/>
      <w:sz w:val="24"/>
      <w:szCs w:val="24"/>
      <w:lang w:val="en-US" w:eastAsia="zh-CN" w:bidi="ar-SA"/>
    </w:rPr>
  </w:style>
  <w:style w:type="paragraph" w:styleId="1000" w:customStyle="1">
    <w:name w:val="Normal_10_0"/>
    <w:uiPriority w:val="0"/>
    <w:qFormat/>
    <w:rPr>
      <w:rFonts w:ascii="Times New Roman" w:hAnsi="Times New Roman" w:eastAsia="Times New Roman" w:cs="Times New Roman"/>
      <w:sz w:val="24"/>
      <w:szCs w:val="24"/>
      <w:lang w:val="en-US" w:eastAsia="zh-CN" w:bidi="ar-SA"/>
    </w:rPr>
  </w:style>
  <w:style w:type="paragraph" w:styleId="1001" w:customStyle="1">
    <w:name w:val="Normal_5"/>
    <w:uiPriority w:val="0"/>
    <w:qFormat/>
    <w:rPr>
      <w:rFonts w:ascii="Times New Roman" w:hAnsi="Times New Roman" w:eastAsia="Times New Roman" w:cs="Times New Roman"/>
      <w:sz w:val="24"/>
      <w:szCs w:val="24"/>
      <w:lang w:val="en-US" w:eastAsia="zh-CN" w:bidi="ar-SA"/>
    </w:rPr>
  </w:style>
  <w:style w:type="paragraph" w:styleId="1002" w:customStyle="1">
    <w:name w:val="Normal_8"/>
    <w:uiPriority w:val="0"/>
    <w:qFormat/>
    <w:rPr>
      <w:rFonts w:ascii="Times New Roman" w:hAnsi="Times New Roman" w:eastAsia="Times New Roman" w:cs="Times New Roman"/>
      <w:sz w:val="24"/>
      <w:szCs w:val="24"/>
      <w:lang w:val="en-US" w:eastAsia="zh-CN" w:bidi="ar-SA"/>
    </w:rPr>
  </w:style>
  <w:style w:type="paragraph" w:styleId="1003" w:customStyle="1">
    <w:name w:val="Normal_52"/>
    <w:uiPriority w:val="0"/>
    <w:qFormat/>
    <w:rPr>
      <w:rFonts w:ascii="Times New Roman" w:hAnsi="Times New Roman" w:eastAsia="Times New Roman" w:cs="Times New Roman"/>
      <w:sz w:val="24"/>
      <w:szCs w:val="24"/>
      <w:lang w:val="en-US" w:eastAsia="zh-CN" w:bidi="ar-SA"/>
    </w:rPr>
  </w:style>
  <w:style w:type="paragraph" w:styleId="1004" w:customStyle="1">
    <w:name w:val="Normal_2"/>
    <w:uiPriority w:val="0"/>
    <w:qFormat/>
    <w:rPr>
      <w:rFonts w:ascii="Times New Roman" w:hAnsi="Times New Roman" w:eastAsia="Times New Roman" w:cs="Times New Roman"/>
      <w:sz w:val="24"/>
      <w:szCs w:val="24"/>
      <w:lang w:val="en-US" w:eastAsia="zh-CN" w:bidi="ar-SA"/>
    </w:rPr>
  </w:style>
  <w:style w:type="paragraph" w:styleId="1005" w:customStyle="1">
    <w:name w:val="p0"/>
    <w:basedOn w:val="714"/>
    <w:uiPriority w:val="99"/>
    <w:qFormat/>
    <w:pPr>
      <w:widowControl/>
    </w:pPr>
    <w:rPr>
      <w:rFonts w:ascii="Calibri" w:hAnsi="Calibri" w:cs="宋体"/>
      <w:szCs w:val="21"/>
    </w:rPr>
  </w:style>
  <w:style w:type="paragraph" w:styleId="1006" w:customStyle="1">
    <w:name w:val="Normal_38"/>
    <w:uiPriority w:val="0"/>
    <w:qFormat/>
    <w:rPr>
      <w:rFonts w:ascii="Times New Roman" w:hAnsi="Times New Roman" w:eastAsia="Times New Roman" w:cs="Times New Roman"/>
      <w:sz w:val="24"/>
      <w:szCs w:val="24"/>
      <w:lang w:val="en-US" w:eastAsia="zh-CN" w:bidi="ar-SA"/>
    </w:rPr>
  </w:style>
  <w:style w:type="paragraph" w:styleId="1007" w:customStyle="1">
    <w:name w:val="Normal_43"/>
    <w:uiPriority w:val="0"/>
    <w:qFormat/>
    <w:rPr>
      <w:rFonts w:ascii="Times New Roman" w:hAnsi="Times New Roman" w:eastAsia="Times New Roman" w:cs="Times New Roman"/>
      <w:sz w:val="24"/>
      <w:szCs w:val="24"/>
      <w:lang w:val="en-US" w:eastAsia="zh-CN" w:bidi="ar-SA"/>
    </w:rPr>
  </w:style>
  <w:style w:type="paragraph" w:styleId="1008" w:customStyle="1">
    <w:name w:val="Normal_14"/>
    <w:uiPriority w:val="0"/>
    <w:qFormat/>
    <w:rPr>
      <w:rFonts w:ascii="Times New Roman" w:hAnsi="Times New Roman" w:eastAsia="Times New Roman" w:cs="Times New Roman"/>
      <w:sz w:val="24"/>
      <w:szCs w:val="24"/>
      <w:lang w:val="en-US" w:eastAsia="zh-CN" w:bidi="ar-SA"/>
    </w:rPr>
  </w:style>
  <w:style w:type="paragraph" w:styleId="1009" w:customStyle="1">
    <w:name w:val="Normal_44"/>
    <w:uiPriority w:val="0"/>
    <w:qFormat/>
    <w:rPr>
      <w:rFonts w:ascii="Times New Roman" w:hAnsi="Times New Roman" w:eastAsia="Times New Roman" w:cs="Times New Roman"/>
      <w:sz w:val="24"/>
      <w:szCs w:val="24"/>
      <w:lang w:val="en-US" w:eastAsia="zh-CN" w:bidi="ar-SA"/>
    </w:rPr>
  </w:style>
  <w:style w:type="paragraph" w:styleId="1010" w:customStyle="1">
    <w:name w:val="Normal_17_0"/>
    <w:uiPriority w:val="0"/>
    <w:qFormat/>
    <w:rPr>
      <w:rFonts w:ascii="Times New Roman" w:hAnsi="Times New Roman" w:eastAsia="Times New Roman" w:cs="Times New Roman"/>
      <w:sz w:val="24"/>
      <w:szCs w:val="24"/>
      <w:lang w:val="en-US" w:eastAsia="zh-CN" w:bidi="ar-SA"/>
    </w:rPr>
  </w:style>
  <w:style w:type="paragraph" w:styleId="1011" w:customStyle="1">
    <w:name w:val="Normal_8_0"/>
    <w:uiPriority w:val="0"/>
    <w:qFormat/>
    <w:rPr>
      <w:rFonts w:ascii="Times New Roman" w:hAnsi="Times New Roman" w:eastAsia="Times New Roman" w:cs="Times New Roman"/>
      <w:sz w:val="24"/>
      <w:szCs w:val="24"/>
      <w:lang w:val="en-US" w:eastAsia="zh-CN" w:bidi="ar-SA"/>
    </w:rPr>
  </w:style>
  <w:style w:type="paragraph" w:styleId="1012" w:customStyle="1">
    <w:name w:val="Normal_0_0_0"/>
    <w:uiPriority w:val="0"/>
    <w:qFormat/>
    <w:rPr>
      <w:rFonts w:ascii="Times New Roman" w:hAnsi="Times New Roman" w:eastAsia="Times New Roman" w:cs="Times New Roman"/>
      <w:sz w:val="24"/>
      <w:szCs w:val="24"/>
      <w:lang w:val="en-US" w:eastAsia="zh-CN" w:bidi="ar-SA"/>
    </w:rPr>
  </w:style>
  <w:style w:type="paragraph" w:styleId="1013" w:customStyle="1">
    <w:name w:val="Normal_21"/>
    <w:uiPriority w:val="0"/>
    <w:qFormat/>
    <w:rPr>
      <w:rFonts w:ascii="Times New Roman" w:hAnsi="Times New Roman" w:eastAsia="Times New Roman" w:cs="Times New Roman"/>
      <w:sz w:val="24"/>
      <w:szCs w:val="24"/>
      <w:lang w:val="en-US" w:eastAsia="zh-CN" w:bidi="ar-SA"/>
    </w:rPr>
  </w:style>
  <w:style w:type="paragraph" w:styleId="1014" w:customStyle="1">
    <w:name w:val="Normal_12_0"/>
    <w:uiPriority w:val="0"/>
    <w:qFormat/>
    <w:rPr>
      <w:rFonts w:ascii="Times New Roman" w:hAnsi="Times New Roman" w:eastAsia="Times New Roman" w:cs="Times New Roman"/>
      <w:sz w:val="24"/>
      <w:szCs w:val="24"/>
      <w:lang w:val="en-US" w:eastAsia="zh-CN" w:bidi="ar-SA"/>
    </w:rPr>
  </w:style>
  <w:style w:type="paragraph" w:styleId="1015" w:customStyle="1">
    <w:name w:val="列表段落"/>
    <w:basedOn w:val="714"/>
    <w:uiPriority w:val="34"/>
    <w:qFormat/>
    <w:pPr>
      <w:contextualSpacing/>
      <w:ind w:left="720"/>
      <w:jc w:val="left"/>
      <w:widowControl/>
    </w:pPr>
    <w:rPr>
      <w:rFonts w:ascii="Calibri" w:hAnsi="Calibri" w:cs="宋体"/>
      <w:sz w:val="24"/>
      <w:lang w:eastAsia="en-US"/>
    </w:rPr>
  </w:style>
  <w:style w:type="paragraph" w:styleId="1016" w:customStyle="1">
    <w:name w:val="Normal_28"/>
    <w:uiPriority w:val="0"/>
    <w:qFormat/>
    <w:rPr>
      <w:rFonts w:ascii="Times New Roman" w:hAnsi="Times New Roman" w:eastAsia="Times New Roman" w:cs="Times New Roman"/>
      <w:sz w:val="24"/>
      <w:szCs w:val="24"/>
      <w:lang w:val="en-US" w:eastAsia="zh-CN" w:bidi="ar-SA"/>
    </w:rPr>
  </w:style>
  <w:style w:type="paragraph" w:styleId="1017" w:customStyle="1">
    <w:name w:val="Normal_7_0"/>
    <w:uiPriority w:val="0"/>
    <w:qFormat/>
    <w:rPr>
      <w:rFonts w:ascii="Times New Roman" w:hAnsi="Times New Roman" w:eastAsia="Times New Roman" w:cs="Times New Roman"/>
      <w:sz w:val="24"/>
      <w:szCs w:val="24"/>
      <w:lang w:val="en-US" w:eastAsia="zh-CN" w:bidi="ar-SA"/>
    </w:rPr>
  </w:style>
  <w:style w:type="paragraph" w:styleId="1018" w:customStyle="1">
    <w:name w:val="Normal_49"/>
    <w:uiPriority w:val="0"/>
    <w:qFormat/>
    <w:rPr>
      <w:rFonts w:ascii="Times New Roman" w:hAnsi="Times New Roman" w:eastAsia="Times New Roman" w:cs="Times New Roman"/>
      <w:sz w:val="24"/>
      <w:szCs w:val="24"/>
      <w:lang w:val="en-US" w:eastAsia="zh-CN" w:bidi="ar-SA"/>
    </w:rPr>
  </w:style>
  <w:style w:type="paragraph" w:styleId="1019" w:customStyle="1">
    <w:name w:val="Normal_14_0"/>
    <w:uiPriority w:val="0"/>
    <w:qFormat/>
    <w:rPr>
      <w:rFonts w:ascii="Times New Roman" w:hAnsi="Times New Roman" w:eastAsia="Times New Roman" w:cs="Times New Roman"/>
      <w:sz w:val="24"/>
      <w:szCs w:val="24"/>
      <w:lang w:val="en-US" w:eastAsia="zh-CN" w:bidi="ar-SA"/>
    </w:rPr>
  </w:style>
  <w:style w:type="paragraph" w:styleId="1020" w:customStyle="1">
    <w:name w:val="Normal_4_1"/>
    <w:uiPriority w:val="0"/>
    <w:qFormat/>
    <w:rPr>
      <w:rFonts w:ascii="Times New Roman" w:hAnsi="Times New Roman" w:eastAsia="Times New Roman" w:cs="Times New Roman"/>
      <w:sz w:val="24"/>
      <w:szCs w:val="24"/>
      <w:lang w:val="en-US" w:eastAsia="zh-CN" w:bidi="ar-SA"/>
    </w:rPr>
  </w:style>
  <w:style w:type="paragraph" w:styleId="1021" w:customStyle="1">
    <w:name w:val="Normal_32"/>
    <w:uiPriority w:val="0"/>
    <w:qFormat/>
    <w:rPr>
      <w:rFonts w:ascii="Times New Roman" w:hAnsi="Times New Roman" w:eastAsia="Times New Roman" w:cs="Times New Roman"/>
      <w:sz w:val="24"/>
      <w:szCs w:val="24"/>
      <w:lang w:val="en-US" w:eastAsia="zh-CN" w:bidi="ar-SA"/>
    </w:rPr>
  </w:style>
  <w:style w:type="paragraph" w:styleId="102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3" w:customStyle="1">
    <w:name w:val="Normal_35"/>
    <w:uiPriority w:val="0"/>
    <w:qFormat/>
    <w:rPr>
      <w:rFonts w:ascii="Times New Roman" w:hAnsi="Times New Roman" w:eastAsia="Times New Roman" w:cs="Times New Roman"/>
      <w:sz w:val="24"/>
      <w:szCs w:val="24"/>
      <w:lang w:val="en-US" w:eastAsia="zh-CN" w:bidi="ar-SA"/>
    </w:rPr>
  </w:style>
  <w:style w:type="paragraph" w:styleId="1024" w:customStyle="1">
    <w:name w:val="Normal_19"/>
    <w:uiPriority w:val="0"/>
    <w:qFormat/>
    <w:rPr>
      <w:rFonts w:ascii="Times New Roman" w:hAnsi="Times New Roman" w:eastAsia="Times New Roman" w:cs="Times New Roman"/>
      <w:sz w:val="24"/>
      <w:szCs w:val="24"/>
      <w:lang w:val="en-US" w:eastAsia="zh-CN" w:bidi="ar-SA"/>
    </w:rPr>
  </w:style>
  <w:style w:type="paragraph" w:styleId="1025" w:customStyle="1">
    <w:name w:val="Normal_5_0"/>
    <w:uiPriority w:val="0"/>
    <w:qFormat/>
    <w:rPr>
      <w:rFonts w:ascii="Times New Roman" w:hAnsi="Times New Roman" w:eastAsia="Times New Roman" w:cs="Times New Roman"/>
      <w:sz w:val="24"/>
      <w:szCs w:val="24"/>
      <w:lang w:val="en-US" w:eastAsia="zh-CN" w:bidi="ar-SA"/>
    </w:rPr>
  </w:style>
  <w:style w:type="paragraph" w:styleId="1026" w:customStyle="1">
    <w:name w:val="Normal_3_0"/>
    <w:uiPriority w:val="0"/>
    <w:qFormat/>
    <w:rPr>
      <w:rFonts w:ascii="Times New Roman" w:hAnsi="Times New Roman" w:eastAsia="Times New Roman" w:cs="Times New Roman"/>
      <w:sz w:val="24"/>
      <w:szCs w:val="24"/>
      <w:lang w:val="en-US" w:eastAsia="zh-CN" w:bidi="ar-SA"/>
    </w:rPr>
  </w:style>
  <w:style w:type="paragraph" w:styleId="1027" w:customStyle="1">
    <w:name w:val="Normal_7"/>
    <w:uiPriority w:val="0"/>
    <w:qFormat/>
    <w:rPr>
      <w:rFonts w:ascii="Times New Roman" w:hAnsi="Times New Roman" w:eastAsia="Times New Roman" w:cs="Times New Roman"/>
      <w:sz w:val="24"/>
      <w:szCs w:val="24"/>
      <w:lang w:val="en-US" w:eastAsia="zh-CN" w:bidi="ar-SA"/>
    </w:rPr>
  </w:style>
  <w:style w:type="paragraph" w:styleId="1028" w:customStyle="1">
    <w:name w:val="Normal_23"/>
    <w:uiPriority w:val="0"/>
    <w:qFormat/>
    <w:rPr>
      <w:rFonts w:ascii="Times New Roman" w:hAnsi="Times New Roman" w:eastAsia="Times New Roman" w:cs="Times New Roman"/>
      <w:sz w:val="24"/>
      <w:szCs w:val="24"/>
      <w:lang w:val="en-US" w:eastAsia="zh-CN" w:bidi="ar-SA"/>
    </w:rPr>
  </w:style>
  <w:style w:type="paragraph" w:styleId="1029" w:customStyle="1">
    <w:name w:val="Normal_40"/>
    <w:uiPriority w:val="0"/>
    <w:qFormat/>
    <w:rPr>
      <w:rFonts w:ascii="Times New Roman" w:hAnsi="Times New Roman" w:eastAsia="Times New Roman" w:cs="Times New Roman"/>
      <w:sz w:val="24"/>
      <w:szCs w:val="24"/>
      <w:lang w:val="en-US" w:eastAsia="zh-CN" w:bidi="ar-SA"/>
    </w:rPr>
  </w:style>
  <w:style w:type="paragraph" w:styleId="1030" w:customStyle="1">
    <w:name w:val="Normal_42"/>
    <w:uiPriority w:val="0"/>
    <w:qFormat/>
    <w:rPr>
      <w:rFonts w:ascii="Times New Roman" w:hAnsi="Times New Roman" w:eastAsia="Times New Roman" w:cs="Times New Roman"/>
      <w:sz w:val="24"/>
      <w:szCs w:val="24"/>
      <w:lang w:val="en-US" w:eastAsia="zh-CN" w:bidi="ar-SA"/>
    </w:rPr>
  </w:style>
  <w:style w:type="table" w:styleId="1031" w:customStyle="1">
    <w:name w:val="TableGrid1"/>
    <w:uiPriority w:val="0"/>
    <w:qFormat/>
    <w:rPr>
      <w:rFonts w:ascii="等线" w:hAnsi="等线" w:eastAsia="等线"/>
      <w:sz w:val="21"/>
      <w:szCs w:val="22"/>
    </w:rPr>
    <w:tblPr>
      <w:tblLayout w:type="fixed"/>
      <w:tblCellMar>
        <w:left w:w="0" w:type="dxa"/>
        <w:top w:w="0" w:type="dxa"/>
        <w:right w:w="0" w:type="dxa"/>
        <w:bottom w:w="0" w:type="dxa"/>
      </w:tblCellMar>
    </w:tblPr>
  </w:style>
  <w:style w:type="paragraph" w:styleId="1032" w:customStyle="1">
    <w:name w:val="列出段落1"/>
    <w:basedOn w:val="714"/>
    <w:uiPriority w:val="34"/>
    <w:qFormat/>
    <w:pPr>
      <w:contextualSpacing/>
      <w:ind w:left="720"/>
      <w:jc w:val="left"/>
      <w:widowControl/>
    </w:pPr>
    <w:rPr>
      <w:rFonts w:ascii="Calibri" w:hAnsi="Calibri" w:cs="宋体"/>
      <w:sz w:val="24"/>
      <w:lang w:eastAsia="en-US"/>
    </w:rPr>
  </w:style>
  <w:style w:type="paragraph" w:styleId="1033" w:customStyle="1">
    <w:name w:val="p0_0"/>
    <w:basedOn w:val="948"/>
    <w:uiPriority w:val="0"/>
    <w:qFormat/>
    <w:rPr>
      <w:szCs w:val="21"/>
    </w:rPr>
  </w:style>
  <w:style w:type="table" w:styleId="1034" w:customStyle="1">
    <w:name w:val="Table Normal"/>
    <w:uiPriority w:val="0"/>
    <w:unhideWhenUsed/>
    <w:qFormat/>
    <w:tblPr>
      <w:tblLayout w:type="fixed"/>
      <w:tblCellMar>
        <w:left w:w="0" w:type="dxa"/>
        <w:top w:w="0" w:type="dxa"/>
        <w:right w:w="0" w:type="dxa"/>
        <w:bottom w:w="0" w:type="dxa"/>
      </w:tblCellMar>
    </w:tblPr>
  </w:style>
  <w:style w:type="paragraph" w:styleId="1035" w:customStyle="1">
    <w:name w:val="纯文本11"/>
    <w:basedOn w:val="714"/>
    <w:uiPriority w:val="0"/>
    <w:qFormat/>
    <w:rPr>
      <w:rFonts w:ascii="宋体" w:hAnsi="Courier New" w:eastAsia="楷体_GB2312"/>
      <w:sz w:val="26"/>
    </w:rPr>
  </w:style>
  <w:style w:type="paragraph" w:styleId="1036" w:customStyle="1">
    <w:name w:val="普通(网站)1"/>
    <w:basedOn w:val="714"/>
    <w:uiPriority w:val="99"/>
    <w:qFormat/>
    <w:pPr>
      <w:jc w:val="left"/>
      <w:spacing w:beforeAutospacing="1" w:afterAutospacing="1"/>
    </w:pPr>
    <w:rPr>
      <w:sz w:val="24"/>
    </w:rPr>
  </w:style>
  <w:style w:type="paragraph" w:styleId="1037" w:customStyle="1">
    <w:name w:val="font7"/>
    <w:basedOn w:val="714"/>
    <w:uiPriority w:val="0"/>
    <w:qFormat/>
    <w:pPr>
      <w:jc w:val="left"/>
      <w:spacing w:before="100" w:beforeAutospacing="1" w:after="100" w:afterAutospacing="1"/>
      <w:widowControl/>
    </w:pPr>
    <w:rPr>
      <w:rFonts w:ascii="Verdana" w:hAnsi="Verdana"/>
      <w:sz w:val="20"/>
      <w:szCs w:val="20"/>
    </w:rPr>
  </w:style>
  <w:style w:type="paragraph" w:styleId="1038" w:customStyle="1">
    <w:name w:val="正文 A"/>
    <w:next w:val="73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39" w:customStyle="1">
    <w:name w:val="WPSOffice手动目录 1"/>
    <w:uiPriority w:val="0"/>
    <w:qFormat/>
    <w:rPr>
      <w:rFonts w:ascii="Times New Roman" w:hAnsi="Times New Roman" w:eastAsia="宋体" w:cs="Times New Roman"/>
      <w:lang w:val="en-US" w:eastAsia="zh-CN" w:bidi="ar-SA"/>
    </w:rPr>
  </w:style>
  <w:style w:type="character" w:styleId="1040" w:customStyle="1">
    <w:name w:val="font21"/>
    <w:basedOn w:val="724"/>
    <w:uiPriority w:val="0"/>
    <w:qFormat/>
    <w:rPr>
      <w:rFonts w:hint="eastAsia" w:ascii="宋体" w:hAnsi="宋体" w:eastAsia="宋体" w:cs="宋体"/>
      <w:color w:val="000000"/>
      <w:sz w:val="24"/>
      <w:szCs w:val="24"/>
      <w:u w:val="none"/>
    </w:rPr>
  </w:style>
  <w:style w:type="paragraph" w:styleId="1041" w:customStyle="1">
    <w:name w:val="表格文字"/>
    <w:basedOn w:val="714"/>
    <w:next w:val="733"/>
    <w:uiPriority w:val="0"/>
    <w:qFormat/>
    <w:pPr>
      <w:jc w:val="left"/>
      <w:spacing w:before="25" w:after="25"/>
    </w:pPr>
    <w:rPr>
      <w:bCs/>
      <w:spacing w:val="10"/>
      <w:sz w:val="24"/>
      <w:szCs w:val="20"/>
    </w:rPr>
  </w:style>
  <w:style w:type="paragraph" w:styleId="1042" w:customStyle="1">
    <w:name w:val="正文1"/>
    <w:basedOn w:val="714"/>
    <w:next w:val="714"/>
    <w:uiPriority w:val="0"/>
    <w:qFormat/>
    <w:pPr>
      <w:ind w:left="420" w:firstLine="527"/>
      <w:spacing w:before="120" w:line="360" w:lineRule="auto"/>
    </w:pPr>
    <w:rPr>
      <w:rFonts w:ascii="宋体" w:hAnsi="宋体"/>
      <w:szCs w:val="20"/>
    </w:rPr>
  </w:style>
  <w:style w:type="character" w:styleId="1043" w:customStyle="1">
    <w:name w:val="NormalCharacter"/>
    <w:uiPriority w:val="0"/>
    <w:semiHidden/>
    <w:qFormat/>
  </w:style>
  <w:style w:type="paragraph" w:styleId="1044" w:customStyle="1">
    <w:name w:val="正文缩进1"/>
    <w:basedOn w:val="714"/>
    <w:uiPriority w:val="0"/>
    <w:qFormat/>
    <w:pPr>
      <w:ind w:firstLine="420"/>
      <w:jc w:val="left"/>
      <w:widowControl/>
    </w:pPr>
    <w:rPr>
      <w:rFonts w:eastAsia="楷体_GB2312"/>
      <w:sz w:val="24"/>
      <w:szCs w:val="20"/>
    </w:rPr>
  </w:style>
  <w:style w:type="character" w:styleId="1045" w:customStyle="1">
    <w:name w:val="font41"/>
    <w:basedOn w:val="724"/>
    <w:uiPriority w:val="0"/>
    <w:qFormat/>
    <w:rPr>
      <w:rFonts w:hint="eastAsia" w:ascii="宋体" w:hAnsi="宋体" w:eastAsia="宋体" w:cs="宋体"/>
      <w:color w:val="000000"/>
      <w:sz w:val="20"/>
      <w:szCs w:val="20"/>
      <w:u w:val="none"/>
    </w:rPr>
  </w:style>
  <w:style w:type="character" w:styleId="1046" w:customStyle="1">
    <w:name w:val="font31"/>
    <w:basedOn w:val="724"/>
    <w:uiPriority w:val="0"/>
    <w:qFormat/>
    <w:rPr>
      <w:rFonts w:hint="eastAsia" w:ascii="宋体" w:hAnsi="宋体" w:eastAsia="宋体" w:cs="宋体"/>
      <w:color w:val="000000"/>
      <w:sz w:val="20"/>
      <w:szCs w:val="20"/>
      <w:u w:val="none"/>
    </w:rPr>
  </w:style>
  <w:style w:type="character" w:styleId="1047" w:customStyle="1">
    <w:name w:val="font11"/>
    <w:basedOn w:val="724"/>
    <w:uiPriority w:val="0"/>
    <w:qFormat/>
    <w:rPr>
      <w:rFonts w:hint="eastAsia" w:ascii="宋体" w:hAnsi="宋体" w:eastAsia="宋体" w:cs="宋体"/>
      <w:color w:val="000000"/>
      <w:sz w:val="20"/>
      <w:szCs w:val="20"/>
      <w:u w:val="none"/>
    </w:rPr>
  </w:style>
  <w:style w:type="paragraph" w:styleId="1048" w:customStyle="1">
    <w:name w:val="正文文本111"/>
    <w:basedOn w:val="714"/>
    <w:next w:val="714"/>
    <w:uiPriority w:val="1"/>
    <w:qFormat/>
    <w:pPr>
      <w:spacing w:after="120"/>
    </w:pPr>
  </w:style>
  <w:style w:type="paragraph" w:styleId="1049" w:customStyle="1">
    <w:name w:val="正文首行缩进 21"/>
    <w:basedOn w:val="766"/>
    <w:uiPriority w:val="0"/>
    <w:qFormat/>
    <w:pPr>
      <w:ind w:firstLine="200"/>
      <w:spacing w:line="360" w:lineRule="auto"/>
    </w:pPr>
    <w:rPr>
      <w:rFonts w:ascii="宋体"/>
    </w:rPr>
  </w:style>
  <w:style w:type="character" w:styleId="1050" w:customStyle="1">
    <w:name w:val="要点1"/>
    <w:uiPriority w:val="0"/>
    <w:qFormat/>
    <w:rPr>
      <w:rFonts w:ascii="Times New Roman" w:hAnsi="Times New Roman" w:eastAsia="宋体" w:cs="Times New Roman"/>
      <w:b/>
    </w:rPr>
  </w:style>
  <w:style w:type="character" w:styleId="1051" w:customStyle="1">
    <w:name w:val="批注文字 Char"/>
    <w:basedOn w:val="724"/>
    <w:link w:val="728"/>
    <w:uiPriority w:val="99"/>
    <w:semiHidden/>
    <w:qFormat/>
    <w:rPr>
      <w:sz w:val="21"/>
      <w:szCs w:val="22"/>
    </w:rPr>
  </w:style>
  <w:style w:type="character" w:styleId="1052" w:customStyle="1">
    <w:name w:val="批注主题 Char"/>
    <w:basedOn w:val="1051"/>
    <w:link w:val="727"/>
    <w:uiPriority w:val="99"/>
    <w:semiHidden/>
    <w:qFormat/>
    <w:rPr>
      <w:b/>
      <w:bCs/>
      <w:sz w:val="21"/>
      <w:szCs w:val="22"/>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金娟</cp:lastModifiedBy>
  <cp:revision>33</cp:revision>
  <dcterms:created xsi:type="dcterms:W3CDTF">2023-01-06T05:21:00Z</dcterms:created>
  <dcterms:modified xsi:type="dcterms:W3CDTF">2026-05-19T03:09:27Z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B9980F01A94646949BAFEED4BFC38982_13</vt:lpwstr>
  </property>
  <property fmtid="{D5CDD505-2E9C-101B-9397-08002B2CF9AE}" pid="4" name="KSOTemplateDocerSaveRecord">
    <vt:lpwstr>eyJoZGlkIjoiODQzNTkzNzY1N2I2ZDcxNzNkMmYxNjI1NzM4MmViNDMiLCJ1c2VySWQiOiI1NTA2NDYyNDgifQ==</vt:lpwstr>
  </property>
</Properties>
</file>